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2"/>
        <w:jc w:val="center"/>
        <w:rPr>
          <w:rFonts w:ascii="黑体" w:hAnsi="黑体" w:eastAsia="黑体"/>
          <w:b/>
          <w:sz w:val="32"/>
          <w:szCs w:val="32"/>
        </w:rPr>
      </w:pPr>
      <w:r>
        <w:rPr>
          <w:rFonts w:hint="eastAsia" w:ascii="黑体" w:hAnsi="黑体" w:eastAsia="黑体"/>
          <w:b/>
          <w:sz w:val="32"/>
          <w:szCs w:val="32"/>
        </w:rPr>
        <w:t>《混合型超级电容器总规范》标准编制说明</w:t>
      </w:r>
    </w:p>
    <w:p>
      <w:pPr>
        <w:pStyle w:val="8"/>
        <w:numPr>
          <w:ilvl w:val="0"/>
          <w:numId w:val="1"/>
        </w:numPr>
        <w:ind w:left="607" w:firstLineChars="0"/>
        <w:jc w:val="left"/>
        <w:rPr>
          <w:rFonts w:ascii="黑体" w:hAnsi="黑体" w:eastAsia="黑体"/>
          <w:b/>
          <w:bCs/>
          <w:sz w:val="28"/>
          <w:szCs w:val="32"/>
        </w:rPr>
      </w:pPr>
      <w:r>
        <w:rPr>
          <w:rFonts w:hint="eastAsia" w:ascii="黑体" w:hAnsi="黑体" w:eastAsia="黑体"/>
          <w:b/>
          <w:bCs/>
          <w:sz w:val="28"/>
          <w:szCs w:val="32"/>
        </w:rPr>
        <w:t>工作简况</w:t>
      </w:r>
    </w:p>
    <w:p>
      <w:pPr>
        <w:pStyle w:val="8"/>
        <w:numPr>
          <w:ilvl w:val="1"/>
          <w:numId w:val="1"/>
        </w:numPr>
        <w:ind w:left="1140" w:leftChars="200" w:hanging="720" w:hangingChars="300"/>
        <w:jc w:val="left"/>
        <w:rPr>
          <w:rFonts w:ascii="宋体" w:hAnsi="宋体" w:eastAsia="宋体"/>
          <w:bCs/>
          <w:sz w:val="24"/>
          <w:szCs w:val="32"/>
        </w:rPr>
      </w:pPr>
      <w:r>
        <w:rPr>
          <w:rFonts w:hint="eastAsia" w:ascii="宋体" w:hAnsi="宋体" w:eastAsia="宋体"/>
          <w:bCs/>
          <w:sz w:val="24"/>
          <w:szCs w:val="32"/>
        </w:rPr>
        <w:t>任务来源</w:t>
      </w:r>
    </w:p>
    <w:p>
      <w:pPr>
        <w:pStyle w:val="2"/>
        <w:widowControl/>
        <w:spacing w:beforeAutospacing="0" w:after="150" w:afterAutospacing="0" w:line="360" w:lineRule="auto"/>
        <w:ind w:firstLine="480" w:firstLineChars="200"/>
        <w:rPr>
          <w:rFonts w:hint="default"/>
          <w:bCs/>
          <w:sz w:val="24"/>
          <w:szCs w:val="28"/>
        </w:rPr>
      </w:pPr>
      <w:r>
        <w:rPr>
          <w:rFonts w:cstheme="minorBidi"/>
          <w:b w:val="0"/>
          <w:bCs/>
          <w:kern w:val="2"/>
          <w:sz w:val="24"/>
          <w:szCs w:val="28"/>
        </w:rPr>
        <w:t>本标准由中国超级电容产业联盟在2017年6月9日“超级电容器领域标准化工作会议”上提出并通过专家讨论予以立项，为提高标准的公正性联盟组织行业各相关企业积极参与标准的制、修订工作。由宁波中车新能源科技有限公司等国内主要的超级电容器研制生产企业共同参加《混合型超级电容器总规范》团体标准的编制。</w:t>
      </w:r>
    </w:p>
    <w:p>
      <w:pPr>
        <w:pStyle w:val="8"/>
        <w:numPr>
          <w:ilvl w:val="1"/>
          <w:numId w:val="1"/>
        </w:numPr>
        <w:ind w:left="1140" w:leftChars="200" w:hanging="720" w:hangingChars="300"/>
        <w:jc w:val="left"/>
        <w:rPr>
          <w:rFonts w:ascii="宋体" w:hAnsi="宋体" w:eastAsia="宋体"/>
          <w:bCs/>
          <w:sz w:val="22"/>
          <w:szCs w:val="28"/>
        </w:rPr>
      </w:pPr>
      <w:r>
        <w:rPr>
          <w:rFonts w:hint="eastAsia" w:ascii="宋体" w:hAnsi="宋体" w:eastAsia="宋体"/>
          <w:bCs/>
          <w:sz w:val="24"/>
          <w:szCs w:val="32"/>
        </w:rPr>
        <w:t>主要工作过程</w:t>
      </w:r>
    </w:p>
    <w:p>
      <w:pPr>
        <w:spacing w:line="360" w:lineRule="auto"/>
        <w:ind w:firstLine="480" w:firstLineChars="200"/>
        <w:jc w:val="left"/>
        <w:rPr>
          <w:rFonts w:ascii="宋体" w:hAnsi="宋体" w:eastAsia="宋体"/>
          <w:bCs/>
          <w:sz w:val="24"/>
          <w:szCs w:val="28"/>
        </w:rPr>
      </w:pPr>
      <w:r>
        <w:rPr>
          <w:rFonts w:hint="eastAsia" w:ascii="宋体" w:hAnsi="宋体" w:eastAsia="宋体"/>
          <w:bCs/>
          <w:sz w:val="24"/>
          <w:szCs w:val="28"/>
        </w:rPr>
        <w:t>2017年6月9日，由超电联盟组织召开“超级电容器领域标准化工作会议”，</w:t>
      </w:r>
      <w:r>
        <w:rPr>
          <w:rFonts w:ascii="宋体" w:hAnsi="宋体" w:eastAsia="宋体"/>
          <w:bCs/>
          <w:sz w:val="24"/>
          <w:szCs w:val="28"/>
        </w:rPr>
        <w:t>会上通过联盟成员及行业专家讨论予以本标准立项，并对任务分工和下一步的工作进行了安排；</w:t>
      </w:r>
    </w:p>
    <w:p>
      <w:pPr>
        <w:spacing w:line="360" w:lineRule="auto"/>
        <w:ind w:firstLine="480" w:firstLineChars="200"/>
        <w:jc w:val="left"/>
        <w:rPr>
          <w:rFonts w:ascii="宋体" w:hAnsi="宋体" w:eastAsia="宋体" w:cs="Times New Roman"/>
          <w:bCs/>
          <w:kern w:val="44"/>
          <w:sz w:val="24"/>
          <w:szCs w:val="28"/>
        </w:rPr>
      </w:pPr>
      <w:r>
        <w:rPr>
          <w:rFonts w:ascii="宋体" w:hAnsi="宋体" w:eastAsia="宋体"/>
          <w:bCs/>
          <w:sz w:val="24"/>
          <w:szCs w:val="28"/>
        </w:rPr>
        <w:t>启动</w:t>
      </w:r>
      <w:r>
        <w:rPr>
          <w:rFonts w:ascii="宋体" w:hAnsi="宋体" w:eastAsia="宋体" w:cs="Times New Roman"/>
          <w:bCs/>
          <w:kern w:val="44"/>
          <w:sz w:val="24"/>
          <w:szCs w:val="28"/>
        </w:rPr>
        <w:t>会后，由宁波中车新能源科技</w:t>
      </w:r>
      <w:r>
        <w:rPr>
          <w:rFonts w:hint="eastAsia" w:ascii="宋体" w:hAnsi="宋体" w:eastAsia="宋体" w:cs="Times New Roman"/>
          <w:bCs/>
          <w:kern w:val="44"/>
          <w:sz w:val="24"/>
          <w:szCs w:val="28"/>
        </w:rPr>
        <w:t>有限公司成立了标准起草工作组，确定工作方案，提出进度安排，开展了相关产品的调研以及有关资料和产品数据的收集、编</w:t>
      </w:r>
      <w:r>
        <w:rPr>
          <w:rFonts w:hint="eastAsia" w:ascii="宋体" w:hAnsi="宋体" w:eastAsia="宋体"/>
          <w:bCs/>
          <w:sz w:val="24"/>
          <w:szCs w:val="28"/>
        </w:rPr>
        <w:t>制工作，经全面地总结和归纳，编制了《混合型超级电容器总规范》标准</w:t>
      </w:r>
      <w:r>
        <w:rPr>
          <w:rFonts w:ascii="宋体" w:hAnsi="宋体" w:eastAsia="宋体"/>
          <w:bCs/>
          <w:sz w:val="24"/>
          <w:szCs w:val="28"/>
        </w:rPr>
        <w:t>草案；</w:t>
      </w:r>
    </w:p>
    <w:p>
      <w:pPr>
        <w:spacing w:line="360" w:lineRule="auto"/>
        <w:ind w:firstLine="480" w:firstLineChars="200"/>
        <w:jc w:val="left"/>
        <w:rPr>
          <w:rFonts w:ascii="宋体" w:hAnsi="宋体" w:eastAsia="宋体"/>
          <w:bCs/>
          <w:sz w:val="24"/>
          <w:szCs w:val="28"/>
        </w:rPr>
      </w:pPr>
      <w:r>
        <w:rPr>
          <w:rFonts w:ascii="宋体" w:hAnsi="宋体" w:eastAsia="宋体"/>
          <w:bCs/>
          <w:sz w:val="24"/>
          <w:szCs w:val="28"/>
        </w:rPr>
        <w:t>2017年8月26日，超电联盟组织召开了第一次标准草案审议会议，会议详细讨论了</w:t>
      </w:r>
      <w:r>
        <w:rPr>
          <w:rFonts w:hint="eastAsia" w:ascii="宋体" w:hAnsi="宋体" w:eastAsia="宋体"/>
          <w:bCs/>
          <w:sz w:val="24"/>
          <w:szCs w:val="28"/>
        </w:rPr>
        <w:t>《混合型超级电容器总规范》标准</w:t>
      </w:r>
      <w:r>
        <w:rPr>
          <w:rFonts w:ascii="宋体" w:hAnsi="宋体" w:eastAsia="宋体"/>
          <w:bCs/>
          <w:sz w:val="24"/>
          <w:szCs w:val="28"/>
        </w:rPr>
        <w:t>草案</w:t>
      </w:r>
      <w:r>
        <w:rPr>
          <w:rFonts w:hint="eastAsia" w:ascii="宋体" w:hAnsi="宋体" w:eastAsia="宋体"/>
          <w:bCs/>
          <w:sz w:val="24"/>
          <w:szCs w:val="28"/>
        </w:rPr>
        <w:t>内容，对不合适的项点进行了修改，对考虑欠缺的方法进行了补充，对有疑问的项目进行了注明，安排了后续的确认工作。</w:t>
      </w:r>
    </w:p>
    <w:p>
      <w:pPr>
        <w:spacing w:line="360" w:lineRule="auto"/>
        <w:ind w:firstLine="480" w:firstLineChars="200"/>
        <w:jc w:val="left"/>
        <w:rPr>
          <w:rFonts w:ascii="宋体" w:hAnsi="宋体" w:eastAsia="宋体"/>
          <w:bCs/>
          <w:sz w:val="24"/>
          <w:szCs w:val="28"/>
        </w:rPr>
      </w:pPr>
      <w:r>
        <w:rPr>
          <w:rFonts w:ascii="宋体" w:hAnsi="宋体" w:eastAsia="宋体"/>
          <w:bCs/>
          <w:sz w:val="24"/>
          <w:szCs w:val="28"/>
        </w:rPr>
        <w:t>第一次标准草案审议会议后</w:t>
      </w:r>
      <w:r>
        <w:rPr>
          <w:rFonts w:hint="eastAsia" w:ascii="宋体" w:hAnsi="宋体" w:eastAsia="宋体"/>
          <w:bCs/>
          <w:sz w:val="24"/>
          <w:szCs w:val="28"/>
        </w:rPr>
        <w:t>，</w:t>
      </w:r>
      <w:r>
        <w:rPr>
          <w:rFonts w:ascii="宋体" w:hAnsi="宋体" w:eastAsia="宋体"/>
          <w:bCs/>
          <w:sz w:val="24"/>
          <w:szCs w:val="28"/>
        </w:rPr>
        <w:t>标准起草工作组根据会议讨论情况</w:t>
      </w:r>
      <w:r>
        <w:rPr>
          <w:rFonts w:hint="eastAsia" w:ascii="宋体" w:hAnsi="宋体" w:eastAsia="宋体"/>
          <w:bCs/>
          <w:sz w:val="24"/>
          <w:szCs w:val="28"/>
        </w:rPr>
        <w:t>，</w:t>
      </w:r>
      <w:r>
        <w:rPr>
          <w:rFonts w:ascii="宋体" w:hAnsi="宋体" w:eastAsia="宋体"/>
          <w:bCs/>
          <w:sz w:val="24"/>
          <w:szCs w:val="28"/>
        </w:rPr>
        <w:t>对标准进行了进一步的修改</w:t>
      </w:r>
      <w:r>
        <w:rPr>
          <w:rFonts w:hint="eastAsia" w:ascii="宋体" w:hAnsi="宋体" w:eastAsia="宋体"/>
          <w:bCs/>
          <w:sz w:val="24"/>
          <w:szCs w:val="28"/>
        </w:rPr>
        <w:t>，</w:t>
      </w:r>
      <w:r>
        <w:rPr>
          <w:rFonts w:ascii="宋体" w:hAnsi="宋体" w:eastAsia="宋体"/>
          <w:bCs/>
          <w:sz w:val="24"/>
          <w:szCs w:val="28"/>
        </w:rPr>
        <w:t>同时针对有疑问的项目进行了资料查询</w:t>
      </w:r>
      <w:r>
        <w:rPr>
          <w:rFonts w:hint="eastAsia" w:ascii="宋体" w:hAnsi="宋体" w:eastAsia="宋体"/>
          <w:bCs/>
          <w:sz w:val="24"/>
          <w:szCs w:val="28"/>
        </w:rPr>
        <w:t>；</w:t>
      </w:r>
      <w:r>
        <w:rPr>
          <w:rFonts w:ascii="宋体" w:hAnsi="宋体" w:eastAsia="宋体"/>
          <w:bCs/>
          <w:sz w:val="24"/>
          <w:szCs w:val="28"/>
        </w:rPr>
        <w:t>2017年10-11月</w:t>
      </w:r>
      <w:r>
        <w:rPr>
          <w:rFonts w:hint="eastAsia" w:ascii="宋体" w:hAnsi="宋体" w:eastAsia="宋体"/>
          <w:bCs/>
          <w:sz w:val="24"/>
          <w:szCs w:val="28"/>
        </w:rPr>
        <w:t>，</w:t>
      </w:r>
      <w:r>
        <w:rPr>
          <w:rFonts w:ascii="宋体" w:hAnsi="宋体" w:eastAsia="宋体"/>
          <w:bCs/>
          <w:sz w:val="24"/>
          <w:szCs w:val="28"/>
        </w:rPr>
        <w:t>工作组</w:t>
      </w:r>
      <w:r>
        <w:rPr>
          <w:rFonts w:hint="eastAsia" w:ascii="宋体" w:hAnsi="宋体" w:eastAsia="宋体"/>
          <w:bCs/>
          <w:sz w:val="24"/>
          <w:szCs w:val="28"/>
        </w:rPr>
        <w:t>将</w:t>
      </w:r>
      <w:r>
        <w:rPr>
          <w:rFonts w:ascii="宋体" w:hAnsi="宋体" w:eastAsia="宋体"/>
          <w:bCs/>
          <w:sz w:val="24"/>
          <w:szCs w:val="28"/>
        </w:rPr>
        <w:t>标准修订稿发给联盟成员广泛征求意见；</w:t>
      </w:r>
    </w:p>
    <w:p>
      <w:pPr>
        <w:spacing w:line="360" w:lineRule="auto"/>
        <w:ind w:firstLine="480" w:firstLineChars="200"/>
        <w:jc w:val="left"/>
        <w:rPr>
          <w:rFonts w:ascii="宋体" w:hAnsi="宋体" w:eastAsia="宋体"/>
          <w:bCs/>
          <w:sz w:val="24"/>
          <w:szCs w:val="28"/>
        </w:rPr>
      </w:pPr>
      <w:r>
        <w:rPr>
          <w:rFonts w:ascii="宋体" w:hAnsi="宋体" w:eastAsia="宋体"/>
          <w:bCs/>
          <w:sz w:val="24"/>
          <w:szCs w:val="28"/>
        </w:rPr>
        <w:t>2017年11月10日，超电联盟组织召开了第二次标准草案审议会议，会议</w:t>
      </w:r>
      <w:r>
        <w:rPr>
          <w:rFonts w:hint="eastAsia" w:ascii="宋体" w:hAnsi="宋体" w:eastAsia="宋体"/>
          <w:bCs/>
          <w:sz w:val="24"/>
          <w:szCs w:val="28"/>
        </w:rPr>
        <w:t>重点</w:t>
      </w:r>
      <w:r>
        <w:rPr>
          <w:rFonts w:ascii="宋体" w:hAnsi="宋体" w:eastAsia="宋体"/>
          <w:bCs/>
          <w:sz w:val="24"/>
          <w:szCs w:val="28"/>
        </w:rPr>
        <w:t>对工作组反馈意见进行了充分讨论</w:t>
      </w:r>
      <w:r>
        <w:rPr>
          <w:rFonts w:hint="eastAsia" w:ascii="宋体" w:hAnsi="宋体" w:eastAsia="宋体"/>
          <w:bCs/>
          <w:sz w:val="24"/>
          <w:szCs w:val="28"/>
        </w:rPr>
        <w:t>，</w:t>
      </w:r>
      <w:r>
        <w:rPr>
          <w:rFonts w:ascii="宋体" w:hAnsi="宋体" w:eastAsia="宋体"/>
          <w:bCs/>
          <w:sz w:val="24"/>
          <w:szCs w:val="28"/>
        </w:rPr>
        <w:t>专家们提出了很多好的修改意见</w:t>
      </w:r>
      <w:r>
        <w:rPr>
          <w:rFonts w:hint="eastAsia" w:ascii="宋体" w:hAnsi="宋体" w:eastAsia="宋体"/>
          <w:bCs/>
          <w:sz w:val="24"/>
          <w:szCs w:val="28"/>
        </w:rPr>
        <w:t>；</w:t>
      </w:r>
    </w:p>
    <w:p>
      <w:pPr>
        <w:spacing w:line="360" w:lineRule="auto"/>
        <w:ind w:firstLine="480" w:firstLineChars="200"/>
        <w:jc w:val="left"/>
        <w:rPr>
          <w:rFonts w:ascii="宋体" w:hAnsi="宋体" w:eastAsia="宋体"/>
          <w:bCs/>
          <w:sz w:val="24"/>
          <w:szCs w:val="28"/>
        </w:rPr>
      </w:pPr>
      <w:r>
        <w:rPr>
          <w:rFonts w:ascii="宋体" w:hAnsi="宋体" w:eastAsia="宋体"/>
          <w:bCs/>
          <w:sz w:val="24"/>
          <w:szCs w:val="28"/>
        </w:rPr>
        <w:t>二次审核会议后</w:t>
      </w:r>
      <w:r>
        <w:rPr>
          <w:rFonts w:hint="eastAsia" w:ascii="宋体" w:hAnsi="宋体" w:eastAsia="宋体"/>
          <w:bCs/>
          <w:sz w:val="24"/>
          <w:szCs w:val="28"/>
        </w:rPr>
        <w:t>，</w:t>
      </w:r>
      <w:r>
        <w:rPr>
          <w:rFonts w:ascii="宋体" w:hAnsi="宋体" w:eastAsia="宋体"/>
          <w:bCs/>
          <w:sz w:val="24"/>
          <w:szCs w:val="28"/>
        </w:rPr>
        <w:t>工作组对标准文本进行了进一步的修改完善</w:t>
      </w:r>
      <w:r>
        <w:rPr>
          <w:rFonts w:hint="eastAsia" w:ascii="宋体" w:hAnsi="宋体" w:eastAsia="宋体"/>
          <w:bCs/>
          <w:sz w:val="24"/>
          <w:szCs w:val="28"/>
        </w:rPr>
        <w:t>，</w:t>
      </w:r>
      <w:r>
        <w:rPr>
          <w:rFonts w:ascii="宋体" w:hAnsi="宋体" w:eastAsia="宋体"/>
          <w:bCs/>
          <w:sz w:val="24"/>
          <w:szCs w:val="28"/>
        </w:rPr>
        <w:t>形成了标准征求意见稿</w:t>
      </w:r>
      <w:r>
        <w:rPr>
          <w:rFonts w:hint="eastAsia" w:ascii="宋体" w:hAnsi="宋体" w:eastAsia="宋体"/>
          <w:bCs/>
          <w:sz w:val="24"/>
          <w:szCs w:val="28"/>
        </w:rPr>
        <w:t>。</w:t>
      </w:r>
    </w:p>
    <w:p>
      <w:pPr>
        <w:pStyle w:val="8"/>
        <w:numPr>
          <w:ilvl w:val="1"/>
          <w:numId w:val="1"/>
        </w:numPr>
        <w:spacing w:line="360" w:lineRule="auto"/>
        <w:ind w:left="1140" w:leftChars="200" w:hanging="720" w:hangingChars="300"/>
        <w:jc w:val="left"/>
        <w:rPr>
          <w:rFonts w:ascii="宋体" w:hAnsi="宋体" w:eastAsia="宋体"/>
          <w:bCs/>
          <w:sz w:val="24"/>
          <w:szCs w:val="32"/>
        </w:rPr>
      </w:pPr>
      <w:r>
        <w:rPr>
          <w:rFonts w:ascii="宋体" w:hAnsi="宋体" w:eastAsia="宋体"/>
          <w:bCs/>
          <w:sz w:val="24"/>
          <w:szCs w:val="32"/>
        </w:rPr>
        <w:t>标准编制的</w:t>
      </w:r>
      <w:r>
        <w:rPr>
          <w:rFonts w:hint="eastAsia" w:ascii="宋体" w:hAnsi="宋体" w:eastAsia="宋体"/>
          <w:bCs/>
          <w:sz w:val="24"/>
          <w:szCs w:val="32"/>
        </w:rPr>
        <w:t>主要成员单位和起草组成员及其所做的工作</w:t>
      </w:r>
    </w:p>
    <w:p>
      <w:pPr>
        <w:pStyle w:val="8"/>
        <w:keepNext w:val="0"/>
        <w:keepLines w:val="0"/>
        <w:pageBreakBefore w:val="0"/>
        <w:widowControl w:val="0"/>
        <w:numPr>
          <w:ilvl w:val="1"/>
          <w:numId w:val="1"/>
        </w:numPr>
        <w:kinsoku/>
        <w:wordWrap/>
        <w:overflowPunct/>
        <w:topLinePunct w:val="0"/>
        <w:autoSpaceDE/>
        <w:autoSpaceDN/>
        <w:bidi w:val="0"/>
        <w:adjustRightInd/>
        <w:snapToGrid/>
        <w:spacing w:line="360" w:lineRule="auto"/>
        <w:ind w:left="420" w:leftChars="200" w:right="0" w:rightChars="0" w:firstLine="0" w:firstLineChars="0"/>
        <w:jc w:val="left"/>
        <w:textAlignment w:val="auto"/>
        <w:outlineLvl w:val="9"/>
        <w:rPr>
          <w:rFonts w:ascii="宋体" w:hAnsi="宋体" w:eastAsia="宋体"/>
          <w:bCs/>
          <w:sz w:val="24"/>
          <w:szCs w:val="32"/>
        </w:rPr>
      </w:pPr>
      <w:r>
        <w:rPr>
          <w:rFonts w:hint="eastAsia" w:ascii="宋体" w:hAnsi="宋体" w:eastAsia="宋体"/>
          <w:bCs/>
          <w:sz w:val="24"/>
          <w:szCs w:val="28"/>
        </w:rPr>
        <w:t>本标准由中国超级电容产业联盟组织，牵头单位为：宁波中车新能源科</w:t>
      </w:r>
      <w:r>
        <w:rPr>
          <w:rFonts w:hint="eastAsia" w:ascii="宋体" w:hAnsi="宋体" w:eastAsia="宋体"/>
          <w:bCs/>
          <w:sz w:val="24"/>
          <w:szCs w:val="32"/>
        </w:rPr>
        <w:t>技有限公司，参与单位：中车青岛四方车辆研究所有限公司</w:t>
      </w:r>
      <w:r>
        <w:rPr>
          <w:rFonts w:hint="eastAsia" w:ascii="宋体" w:hAnsi="宋体" w:eastAsia="宋体"/>
          <w:bCs/>
          <w:sz w:val="24"/>
          <w:szCs w:val="32"/>
          <w:lang w:eastAsia="zh-CN"/>
        </w:rPr>
        <w:t>、</w:t>
      </w:r>
      <w:r>
        <w:rPr>
          <w:rFonts w:hint="eastAsia" w:ascii="宋体" w:hAnsi="宋体" w:eastAsia="宋体"/>
          <w:bCs/>
          <w:sz w:val="24"/>
          <w:szCs w:val="32"/>
          <w:lang w:val="en-US" w:eastAsia="zh-CN"/>
        </w:rPr>
        <w:t>上海奥威科技开发有限公司、</w:t>
      </w:r>
      <w:r>
        <w:rPr>
          <w:rFonts w:hint="eastAsia" w:ascii="宋体" w:hAnsi="宋体" w:eastAsia="宋体"/>
          <w:bCs/>
          <w:sz w:val="24"/>
          <w:szCs w:val="32"/>
        </w:rPr>
        <w:t>云南大学新型储能研究所</w:t>
      </w:r>
      <w:r>
        <w:rPr>
          <w:rFonts w:hint="eastAsia" w:ascii="宋体" w:hAnsi="宋体" w:eastAsia="宋体"/>
          <w:bCs/>
          <w:sz w:val="24"/>
          <w:szCs w:val="32"/>
          <w:lang w:eastAsia="zh-CN"/>
        </w:rPr>
        <w:t>、</w:t>
      </w:r>
      <w:r>
        <w:rPr>
          <w:rFonts w:hint="eastAsia" w:ascii="宋体" w:hAnsi="宋体" w:eastAsia="宋体"/>
          <w:bCs/>
          <w:sz w:val="24"/>
          <w:szCs w:val="32"/>
          <w:lang w:val="en-US" w:eastAsia="zh-CN"/>
        </w:rPr>
        <w:t>浙江斯瑞特电子科技有限公司、辽宁博艾格电子科技有限公司、</w:t>
      </w:r>
      <w:r>
        <w:rPr>
          <w:rFonts w:hint="eastAsia" w:ascii="宋体" w:hAnsi="宋体" w:eastAsia="宋体"/>
          <w:bCs/>
          <w:sz w:val="24"/>
          <w:szCs w:val="32"/>
        </w:rPr>
        <w:t>中国科学院山西煤炭化学研究所</w:t>
      </w:r>
      <w:r>
        <w:rPr>
          <w:rFonts w:hint="eastAsia" w:ascii="宋体" w:hAnsi="宋体" w:eastAsia="宋体"/>
          <w:bCs/>
          <w:sz w:val="24"/>
          <w:szCs w:val="32"/>
          <w:lang w:eastAsia="zh-CN"/>
        </w:rPr>
        <w:t>、</w:t>
      </w:r>
      <w:r>
        <w:rPr>
          <w:rFonts w:hint="eastAsia" w:ascii="宋体" w:hAnsi="宋体" w:eastAsia="宋体"/>
          <w:bCs/>
          <w:sz w:val="24"/>
          <w:szCs w:val="32"/>
          <w:lang w:val="en-US" w:eastAsia="zh-CN"/>
        </w:rPr>
        <w:t>天津工业大学、湖南耐普恩科技有限公司、锦州凯美能源有限公司。</w:t>
      </w:r>
      <w:bookmarkStart w:id="0" w:name="_GoBack"/>
      <w:bookmarkEnd w:id="0"/>
      <w:r>
        <w:rPr>
          <w:rFonts w:hint="eastAsia" w:ascii="宋体" w:hAnsi="宋体" w:eastAsia="宋体"/>
          <w:bCs/>
          <w:sz w:val="24"/>
          <w:szCs w:val="32"/>
        </w:rPr>
        <w:t>中国超级电容产业联盟为项目牵头单位确定标准制定原则，组织各成员单位开展标准编制工作，汇总形成标准各阶段草案并组织国内各方面专家开展标准研讨，完成标准报批。</w:t>
      </w:r>
    </w:p>
    <w:p>
      <w:pPr>
        <w:pStyle w:val="8"/>
        <w:numPr>
          <w:ilvl w:val="1"/>
          <w:numId w:val="1"/>
        </w:numPr>
        <w:spacing w:line="360" w:lineRule="auto"/>
        <w:ind w:left="1140" w:leftChars="200" w:hanging="720" w:hangingChars="300"/>
        <w:jc w:val="left"/>
        <w:rPr>
          <w:rFonts w:hint="default" w:cstheme="minorBidi"/>
          <w:b w:val="0"/>
          <w:bCs/>
          <w:kern w:val="2"/>
          <w:sz w:val="24"/>
          <w:szCs w:val="28"/>
        </w:rPr>
      </w:pPr>
      <w:r>
        <w:rPr>
          <w:rFonts w:ascii="宋体" w:hAnsi="宋体" w:eastAsia="宋体"/>
          <w:bCs/>
          <w:sz w:val="24"/>
          <w:szCs w:val="32"/>
        </w:rPr>
        <w:t>宁波中车新能源科技有限公司作为牵头单位，负责标准各部分内容的编写并</w:t>
      </w:r>
      <w:r>
        <w:rPr>
          <w:rFonts w:cstheme="minorBidi"/>
          <w:b w:val="0"/>
          <w:bCs/>
          <w:kern w:val="2"/>
          <w:sz w:val="24"/>
          <w:szCs w:val="28"/>
        </w:rPr>
        <w:t>参加各阶段标准草案研讨，并起草了最初的标准草案，其他成员单位共同承担标准技术内容的编写。</w:t>
      </w:r>
    </w:p>
    <w:p>
      <w:pPr>
        <w:pStyle w:val="8"/>
        <w:numPr>
          <w:ilvl w:val="0"/>
          <w:numId w:val="1"/>
        </w:numPr>
        <w:ind w:left="607" w:firstLineChars="0"/>
        <w:jc w:val="left"/>
        <w:rPr>
          <w:rFonts w:ascii="黑体" w:hAnsi="黑体" w:eastAsia="黑体"/>
          <w:b/>
          <w:bCs/>
          <w:sz w:val="28"/>
          <w:szCs w:val="28"/>
        </w:rPr>
      </w:pPr>
      <w:r>
        <w:rPr>
          <w:rFonts w:hint="eastAsia" w:ascii="黑体" w:hAnsi="黑体" w:eastAsia="黑体"/>
          <w:b/>
          <w:bCs/>
          <w:sz w:val="28"/>
          <w:szCs w:val="28"/>
        </w:rPr>
        <w:t>标准编制原则和确定主要内容的论据及解决的主要问题</w:t>
      </w:r>
    </w:p>
    <w:p>
      <w:pPr>
        <w:pStyle w:val="8"/>
        <w:numPr>
          <w:ilvl w:val="1"/>
          <w:numId w:val="1"/>
        </w:numPr>
        <w:spacing w:line="360" w:lineRule="auto"/>
        <w:ind w:left="1245" w:leftChars="250" w:hanging="720" w:hangingChars="300"/>
        <w:jc w:val="left"/>
        <w:rPr>
          <w:rFonts w:ascii="宋体" w:hAnsi="宋体" w:eastAsia="宋体"/>
          <w:bCs/>
          <w:sz w:val="24"/>
          <w:szCs w:val="28"/>
        </w:rPr>
      </w:pPr>
      <w:r>
        <w:rPr>
          <w:rFonts w:hint="eastAsia" w:ascii="宋体" w:hAnsi="宋体" w:eastAsia="宋体"/>
          <w:bCs/>
          <w:sz w:val="24"/>
          <w:szCs w:val="28"/>
        </w:rPr>
        <w:t>标准编制原则</w:t>
      </w:r>
    </w:p>
    <w:p>
      <w:pPr>
        <w:pStyle w:val="8"/>
        <w:numPr>
          <w:ilvl w:val="0"/>
          <w:numId w:val="2"/>
        </w:numPr>
        <w:spacing w:line="360" w:lineRule="auto"/>
        <w:ind w:firstLineChars="0"/>
        <w:jc w:val="left"/>
        <w:rPr>
          <w:rFonts w:ascii="宋体" w:hAnsi="宋体" w:eastAsia="宋体"/>
          <w:bCs/>
          <w:sz w:val="24"/>
          <w:szCs w:val="28"/>
        </w:rPr>
      </w:pPr>
      <w:r>
        <w:rPr>
          <w:rFonts w:hint="eastAsia" w:ascii="宋体" w:hAnsi="宋体" w:eastAsia="宋体"/>
          <w:bCs/>
          <w:sz w:val="24"/>
          <w:szCs w:val="28"/>
        </w:rPr>
        <w:t>立足国内超级电容器应用和运行情况，同时参考国外先进经验和国际标准；</w:t>
      </w:r>
    </w:p>
    <w:p>
      <w:pPr>
        <w:pStyle w:val="8"/>
        <w:numPr>
          <w:ilvl w:val="0"/>
          <w:numId w:val="2"/>
        </w:numPr>
        <w:spacing w:line="360" w:lineRule="auto"/>
        <w:ind w:firstLineChars="0"/>
        <w:jc w:val="left"/>
        <w:rPr>
          <w:rFonts w:ascii="宋体" w:hAnsi="宋体" w:eastAsia="宋体"/>
          <w:bCs/>
          <w:sz w:val="24"/>
          <w:szCs w:val="28"/>
        </w:rPr>
      </w:pPr>
      <w:r>
        <w:rPr>
          <w:rFonts w:hint="eastAsia" w:ascii="宋体" w:hAnsi="宋体" w:eastAsia="宋体"/>
          <w:bCs/>
          <w:sz w:val="24"/>
          <w:szCs w:val="28"/>
        </w:rPr>
        <w:t>广泛吸纳国内产品生产制造单位、检测机构及行业专家共同参与标准的起草和讨论；</w:t>
      </w:r>
    </w:p>
    <w:p>
      <w:pPr>
        <w:pStyle w:val="8"/>
        <w:numPr>
          <w:ilvl w:val="0"/>
          <w:numId w:val="2"/>
        </w:numPr>
        <w:spacing w:line="360" w:lineRule="auto"/>
        <w:ind w:firstLineChars="0"/>
        <w:jc w:val="left"/>
        <w:rPr>
          <w:rFonts w:ascii="宋体" w:hAnsi="宋体" w:eastAsia="宋体"/>
          <w:bCs/>
          <w:sz w:val="24"/>
          <w:szCs w:val="28"/>
        </w:rPr>
      </w:pPr>
      <w:r>
        <w:rPr>
          <w:rFonts w:hint="eastAsia" w:ascii="宋体" w:hAnsi="宋体" w:eastAsia="宋体"/>
          <w:bCs/>
          <w:sz w:val="24"/>
          <w:szCs w:val="28"/>
        </w:rPr>
        <w:t>起草过程中充分考虑国内外现有标准的统一和协调。</w:t>
      </w:r>
    </w:p>
    <w:p>
      <w:pPr>
        <w:pStyle w:val="8"/>
        <w:numPr>
          <w:ilvl w:val="1"/>
          <w:numId w:val="1"/>
        </w:numPr>
        <w:spacing w:line="360" w:lineRule="auto"/>
        <w:ind w:left="1245" w:leftChars="250" w:hanging="720" w:hangingChars="300"/>
        <w:jc w:val="left"/>
        <w:rPr>
          <w:rFonts w:ascii="宋体" w:hAnsi="宋体" w:eastAsia="宋体"/>
          <w:bCs/>
          <w:sz w:val="24"/>
          <w:szCs w:val="28"/>
        </w:rPr>
      </w:pPr>
      <w:r>
        <w:rPr>
          <w:rFonts w:hint="eastAsia" w:ascii="宋体" w:hAnsi="宋体" w:eastAsia="宋体"/>
          <w:bCs/>
          <w:sz w:val="24"/>
          <w:szCs w:val="28"/>
        </w:rPr>
        <w:t>确定主要内容的论据</w:t>
      </w:r>
    </w:p>
    <w:p>
      <w:pPr>
        <w:spacing w:line="360" w:lineRule="auto"/>
        <w:ind w:firstLine="480" w:firstLineChars="200"/>
        <w:rPr>
          <w:rFonts w:ascii="宋体" w:hAnsi="宋体" w:eastAsia="宋体"/>
          <w:bCs/>
          <w:sz w:val="24"/>
        </w:rPr>
      </w:pPr>
      <w:r>
        <w:rPr>
          <w:rFonts w:hint="eastAsia" w:ascii="宋体" w:hAnsi="宋体" w:eastAsia="宋体"/>
          <w:bCs/>
          <w:sz w:val="24"/>
        </w:rPr>
        <w:t>本标准主要参考了下列标准中的相关技术条款，对标准中的相关部分进行了逐条对比分析，将其中行业普遍认可的内容纳入标准，同时综合考虑混合型超级电容器的性能特点，对相关要求进行了调整。</w:t>
      </w:r>
    </w:p>
    <w:p>
      <w:pPr>
        <w:pStyle w:val="14"/>
        <w:spacing w:line="360" w:lineRule="auto"/>
        <w:ind w:firstLine="480"/>
        <w:rPr>
          <w:rFonts w:hAnsi="宋体"/>
          <w:sz w:val="24"/>
        </w:rPr>
      </w:pPr>
      <w:r>
        <w:rPr>
          <w:rFonts w:hAnsi="宋体"/>
          <w:sz w:val="24"/>
        </w:rPr>
        <w:t>GB/T 2900.41</w:t>
      </w:r>
      <w:r>
        <w:rPr>
          <w:rFonts w:hint="eastAsia" w:hAnsi="宋体"/>
          <w:sz w:val="24"/>
        </w:rPr>
        <w:t xml:space="preserve"> 电工术语 原电池和蓄电池</w:t>
      </w:r>
    </w:p>
    <w:p>
      <w:pPr>
        <w:pStyle w:val="14"/>
        <w:spacing w:line="360" w:lineRule="auto"/>
        <w:ind w:firstLine="480"/>
        <w:rPr>
          <w:rFonts w:hAnsi="宋体"/>
          <w:sz w:val="24"/>
        </w:rPr>
      </w:pPr>
      <w:r>
        <w:rPr>
          <w:rFonts w:hint="eastAsia" w:hAnsi="宋体"/>
          <w:sz w:val="24"/>
        </w:rPr>
        <w:t>GB</w:t>
      </w:r>
      <w:r>
        <w:rPr>
          <w:rFonts w:hAnsi="宋体"/>
          <w:sz w:val="24"/>
        </w:rPr>
        <w:t>/T 191</w:t>
      </w:r>
      <w:r>
        <w:rPr>
          <w:rFonts w:hint="eastAsia" w:hAnsi="宋体"/>
          <w:sz w:val="24"/>
        </w:rPr>
        <w:t xml:space="preserve"> 包装储运图示标志</w:t>
      </w:r>
    </w:p>
    <w:p>
      <w:pPr>
        <w:pStyle w:val="14"/>
        <w:spacing w:line="360" w:lineRule="auto"/>
        <w:ind w:firstLine="480"/>
        <w:rPr>
          <w:rFonts w:hAnsi="宋体"/>
          <w:sz w:val="24"/>
        </w:rPr>
      </w:pPr>
      <w:r>
        <w:rPr>
          <w:rFonts w:hint="eastAsia" w:hAnsi="宋体"/>
          <w:sz w:val="24"/>
        </w:rPr>
        <w:t>G</w:t>
      </w:r>
      <w:r>
        <w:rPr>
          <w:rFonts w:hAnsi="宋体"/>
          <w:sz w:val="24"/>
        </w:rPr>
        <w:t>B/T 2423.1</w:t>
      </w:r>
      <w:r>
        <w:rPr>
          <w:rFonts w:hint="eastAsia" w:hAnsi="宋体"/>
          <w:sz w:val="24"/>
        </w:rPr>
        <w:t xml:space="preserve"> 电工电子产品环境试验 第2部分：试验方法 试验A：低温</w:t>
      </w:r>
    </w:p>
    <w:p>
      <w:pPr>
        <w:pStyle w:val="14"/>
        <w:spacing w:line="360" w:lineRule="auto"/>
        <w:ind w:firstLine="480"/>
        <w:rPr>
          <w:rFonts w:hAnsi="宋体"/>
          <w:sz w:val="24"/>
        </w:rPr>
      </w:pPr>
      <w:r>
        <w:rPr>
          <w:rFonts w:hint="eastAsia" w:hAnsi="宋体"/>
          <w:sz w:val="24"/>
        </w:rPr>
        <w:t>GB</w:t>
      </w:r>
      <w:r>
        <w:rPr>
          <w:rFonts w:hAnsi="宋体"/>
          <w:sz w:val="24"/>
        </w:rPr>
        <w:t>/T 2423.2</w:t>
      </w:r>
      <w:r>
        <w:rPr>
          <w:rFonts w:hint="eastAsia" w:hAnsi="宋体"/>
          <w:sz w:val="24"/>
        </w:rPr>
        <w:t xml:space="preserve"> 电工电子产品环境试验 第2部分：试验方法 试验</w:t>
      </w:r>
      <w:r>
        <w:rPr>
          <w:rFonts w:hAnsi="宋体"/>
          <w:sz w:val="24"/>
        </w:rPr>
        <w:t>B</w:t>
      </w:r>
      <w:r>
        <w:rPr>
          <w:rFonts w:hint="eastAsia" w:hAnsi="宋体"/>
          <w:sz w:val="24"/>
        </w:rPr>
        <w:t>：高温</w:t>
      </w:r>
    </w:p>
    <w:p>
      <w:pPr>
        <w:pStyle w:val="14"/>
        <w:spacing w:line="360" w:lineRule="auto"/>
        <w:ind w:firstLine="480"/>
        <w:rPr>
          <w:rFonts w:hint="eastAsia" w:hAnsi="宋体"/>
          <w:sz w:val="24"/>
        </w:rPr>
      </w:pPr>
      <w:r>
        <w:rPr>
          <w:rFonts w:hAnsi="宋体"/>
          <w:sz w:val="24"/>
        </w:rPr>
        <w:t>QC/T 741 车用超级电容器</w:t>
      </w:r>
    </w:p>
    <w:p>
      <w:pPr>
        <w:pStyle w:val="14"/>
        <w:spacing w:line="360" w:lineRule="auto"/>
        <w:ind w:firstLine="480"/>
        <w:rPr>
          <w:rFonts w:hAnsi="宋体"/>
          <w:sz w:val="24"/>
        </w:rPr>
      </w:pPr>
      <w:r>
        <w:rPr>
          <w:rFonts w:hint="eastAsia" w:hAnsi="宋体"/>
          <w:sz w:val="24"/>
        </w:rPr>
        <w:t xml:space="preserve">IEC </w:t>
      </w:r>
      <w:r>
        <w:rPr>
          <w:rFonts w:hAnsi="宋体"/>
          <w:sz w:val="24"/>
        </w:rPr>
        <w:t>62576</w:t>
      </w:r>
      <w:r>
        <w:rPr>
          <w:rFonts w:hint="eastAsia" w:hAnsi="宋体"/>
          <w:sz w:val="24"/>
        </w:rPr>
        <w:t xml:space="preserve"> 混合动力电动汽车用双电层电容器</w:t>
      </w:r>
      <w:r>
        <w:rPr>
          <w:rFonts w:hAnsi="宋体"/>
          <w:sz w:val="24"/>
        </w:rPr>
        <w:t>-</w:t>
      </w:r>
      <w:r>
        <w:rPr>
          <w:rFonts w:hint="eastAsia" w:hAnsi="宋体"/>
          <w:sz w:val="24"/>
        </w:rPr>
        <w:t>电特性的试验方法（El</w:t>
      </w:r>
      <w:r>
        <w:rPr>
          <w:rFonts w:hAnsi="宋体"/>
          <w:sz w:val="24"/>
        </w:rPr>
        <w:t>ectric double-layer capacitors for use in hybrid electric vehicles-Test methods for electrical characteristics</w:t>
      </w:r>
      <w:r>
        <w:rPr>
          <w:rFonts w:hint="eastAsia" w:hAnsi="宋体"/>
          <w:sz w:val="24"/>
        </w:rPr>
        <w:t>）</w:t>
      </w:r>
    </w:p>
    <w:p>
      <w:pPr>
        <w:pStyle w:val="14"/>
        <w:spacing w:line="360" w:lineRule="auto"/>
        <w:ind w:firstLine="480"/>
        <w:jc w:val="left"/>
        <w:rPr>
          <w:rFonts w:hint="eastAsia" w:hAnsi="宋体"/>
          <w:sz w:val="24"/>
        </w:rPr>
      </w:pPr>
      <w:r>
        <w:rPr>
          <w:rFonts w:hint="eastAsia" w:hAnsi="宋体"/>
          <w:sz w:val="24"/>
        </w:rPr>
        <w:t xml:space="preserve">IEC </w:t>
      </w:r>
      <w:r>
        <w:rPr>
          <w:rFonts w:hAnsi="宋体"/>
          <w:sz w:val="24"/>
        </w:rPr>
        <w:t>61881-3</w:t>
      </w:r>
      <w:r>
        <w:rPr>
          <w:rFonts w:hint="eastAsia" w:hAnsi="宋体"/>
          <w:sz w:val="24"/>
        </w:rPr>
        <w:t xml:space="preserve"> 铁路应用-机车车辆设备-电力电子设备用电容器-第3部分：双电层电容器（Railway</w:t>
      </w:r>
      <w:r>
        <w:rPr>
          <w:rFonts w:hAnsi="宋体"/>
          <w:sz w:val="24"/>
        </w:rPr>
        <w:t xml:space="preserve"> applications-Rolling stock equipment-Capacitors for power electronics-Part3</w:t>
      </w:r>
      <w:r>
        <w:rPr>
          <w:rFonts w:hint="eastAsia" w:hAnsi="宋体"/>
          <w:sz w:val="24"/>
        </w:rPr>
        <w:t>：Ele</w:t>
      </w:r>
      <w:r>
        <w:rPr>
          <w:rFonts w:hAnsi="宋体"/>
          <w:sz w:val="24"/>
        </w:rPr>
        <w:t>ctric double-layer capacitors</w:t>
      </w:r>
      <w:r>
        <w:rPr>
          <w:rFonts w:hint="eastAsia" w:hAnsi="宋体"/>
          <w:sz w:val="24"/>
        </w:rPr>
        <w:t>）</w:t>
      </w:r>
    </w:p>
    <w:p>
      <w:pPr>
        <w:pStyle w:val="8"/>
        <w:numPr>
          <w:ilvl w:val="1"/>
          <w:numId w:val="1"/>
        </w:numPr>
        <w:spacing w:line="360" w:lineRule="auto"/>
        <w:ind w:left="1245" w:leftChars="250" w:hanging="720" w:hangingChars="300"/>
        <w:jc w:val="left"/>
        <w:rPr>
          <w:rFonts w:ascii="宋体" w:hAnsi="宋体" w:eastAsia="宋体"/>
          <w:bCs/>
          <w:sz w:val="24"/>
          <w:szCs w:val="28"/>
        </w:rPr>
      </w:pPr>
      <w:r>
        <w:rPr>
          <w:rFonts w:hint="eastAsia" w:ascii="宋体" w:hAnsi="宋体" w:eastAsia="宋体"/>
          <w:bCs/>
          <w:sz w:val="24"/>
          <w:szCs w:val="28"/>
        </w:rPr>
        <w:t>解决的主要问题</w:t>
      </w:r>
    </w:p>
    <w:p>
      <w:pPr>
        <w:pStyle w:val="14"/>
        <w:spacing w:line="360" w:lineRule="auto"/>
        <w:ind w:firstLine="480"/>
        <w:rPr>
          <w:rFonts w:hAnsi="宋体"/>
          <w:sz w:val="24"/>
          <w:szCs w:val="24"/>
        </w:rPr>
      </w:pPr>
      <w:r>
        <w:rPr>
          <w:rFonts w:hint="eastAsia" w:hAnsi="宋体" w:cs="Times New Roman"/>
          <w:bCs/>
          <w:sz w:val="24"/>
          <w:szCs w:val="24"/>
        </w:rPr>
        <w:t>本标准是国内外首部专门针对混合型超级电容器制定的基础标准，</w:t>
      </w:r>
      <w:r>
        <w:rPr>
          <w:rFonts w:hint="eastAsia" w:hAnsi="宋体"/>
          <w:sz w:val="24"/>
          <w:szCs w:val="24"/>
        </w:rPr>
        <w:t>主要规定了混合型超级电容器的术语和定义；单体和模组的外观、极性标识、外形尺寸及质量、能量密度、静电容量、内阻、最大功率密度、充放电效率、高低温性能、电压保持率、循环寿命、安全性测试的要求和试验方法；质量检测规则；标志、包装、运输和储存。</w:t>
      </w:r>
    </w:p>
    <w:p>
      <w:pPr>
        <w:pStyle w:val="8"/>
        <w:numPr>
          <w:ilvl w:val="0"/>
          <w:numId w:val="1"/>
        </w:numPr>
        <w:spacing w:line="360" w:lineRule="auto"/>
        <w:ind w:left="607" w:firstLineChars="0"/>
        <w:jc w:val="left"/>
        <w:rPr>
          <w:rFonts w:ascii="黑体" w:hAnsi="黑体" w:eastAsia="黑体"/>
          <w:b/>
          <w:bCs/>
          <w:sz w:val="28"/>
          <w:szCs w:val="28"/>
        </w:rPr>
      </w:pPr>
      <w:r>
        <w:rPr>
          <w:rFonts w:hint="eastAsia" w:ascii="黑体" w:hAnsi="黑体" w:eastAsia="黑体"/>
          <w:b/>
          <w:bCs/>
          <w:sz w:val="28"/>
          <w:szCs w:val="28"/>
        </w:rPr>
        <w:t>主要试验（或验证）情况分析</w:t>
      </w:r>
    </w:p>
    <w:p>
      <w:pPr>
        <w:spacing w:line="360" w:lineRule="auto"/>
        <w:ind w:firstLine="480" w:firstLineChars="200"/>
        <w:jc w:val="left"/>
        <w:rPr>
          <w:rFonts w:ascii="宋体" w:hAnsi="宋体" w:eastAsia="宋体"/>
          <w:bCs/>
          <w:sz w:val="24"/>
          <w:szCs w:val="28"/>
        </w:rPr>
      </w:pPr>
      <w:r>
        <w:rPr>
          <w:rFonts w:hint="eastAsia" w:ascii="宋体" w:hAnsi="宋体" w:eastAsia="宋体"/>
          <w:bCs/>
          <w:sz w:val="24"/>
          <w:szCs w:val="28"/>
        </w:rPr>
        <w:t>本标准中所含测试项目及方法，均参照国内外相关先进标准，因此无需试验验证。</w:t>
      </w:r>
    </w:p>
    <w:p>
      <w:pPr>
        <w:pStyle w:val="8"/>
        <w:numPr>
          <w:ilvl w:val="0"/>
          <w:numId w:val="1"/>
        </w:numPr>
        <w:spacing w:line="360" w:lineRule="auto"/>
        <w:ind w:left="607" w:firstLineChars="0"/>
        <w:jc w:val="left"/>
        <w:rPr>
          <w:rFonts w:ascii="黑体" w:hAnsi="黑体" w:eastAsia="黑体"/>
          <w:b/>
          <w:bCs/>
          <w:sz w:val="28"/>
          <w:szCs w:val="28"/>
        </w:rPr>
      </w:pPr>
      <w:r>
        <w:rPr>
          <w:rFonts w:hint="eastAsia" w:ascii="黑体" w:hAnsi="黑体" w:eastAsia="黑体"/>
          <w:b/>
          <w:bCs/>
          <w:sz w:val="28"/>
          <w:szCs w:val="28"/>
        </w:rPr>
        <w:t>知识产权情况说明</w:t>
      </w:r>
    </w:p>
    <w:p>
      <w:pPr>
        <w:pStyle w:val="8"/>
        <w:spacing w:line="360" w:lineRule="auto"/>
        <w:ind w:left="454" w:firstLine="0" w:firstLineChars="0"/>
        <w:jc w:val="left"/>
        <w:rPr>
          <w:rFonts w:ascii="宋体" w:hAnsi="宋体" w:eastAsia="宋体"/>
          <w:bCs/>
          <w:sz w:val="28"/>
          <w:szCs w:val="28"/>
        </w:rPr>
      </w:pPr>
      <w:r>
        <w:rPr>
          <w:rFonts w:hint="eastAsia" w:ascii="宋体" w:hAnsi="宋体" w:eastAsia="宋体"/>
          <w:b/>
          <w:bCs/>
          <w:sz w:val="28"/>
          <w:szCs w:val="28"/>
        </w:rPr>
        <w:t xml:space="preserve"> </w:t>
      </w:r>
      <w:r>
        <w:rPr>
          <w:rFonts w:hint="eastAsia" w:ascii="宋体" w:hAnsi="宋体" w:eastAsia="宋体"/>
          <w:bCs/>
          <w:sz w:val="24"/>
          <w:szCs w:val="28"/>
        </w:rPr>
        <w:t>本标准的主要技术内容均不涉及专利。</w:t>
      </w:r>
    </w:p>
    <w:p>
      <w:pPr>
        <w:pStyle w:val="8"/>
        <w:numPr>
          <w:ilvl w:val="0"/>
          <w:numId w:val="1"/>
        </w:numPr>
        <w:spacing w:line="360" w:lineRule="auto"/>
        <w:ind w:left="607" w:firstLineChars="0"/>
        <w:jc w:val="left"/>
        <w:rPr>
          <w:rFonts w:ascii="宋体" w:hAnsi="宋体" w:eastAsia="宋体"/>
          <w:b/>
          <w:bCs/>
          <w:sz w:val="28"/>
          <w:szCs w:val="28"/>
        </w:rPr>
      </w:pPr>
      <w:r>
        <w:rPr>
          <w:rFonts w:hint="eastAsia" w:ascii="黑体" w:hAnsi="黑体" w:eastAsia="黑体"/>
          <w:b/>
          <w:bCs/>
          <w:sz w:val="28"/>
          <w:szCs w:val="28"/>
        </w:rPr>
        <w:t>产业化情况，推广应用论证和预期达到的经济效果</w:t>
      </w:r>
    </w:p>
    <w:p>
      <w:pPr>
        <w:snapToGrid w:val="0"/>
        <w:spacing w:line="360" w:lineRule="auto"/>
        <w:ind w:firstLine="480" w:firstLineChars="200"/>
        <w:rPr>
          <w:rFonts w:ascii="宋体" w:hAnsi="宋体"/>
          <w:sz w:val="24"/>
        </w:rPr>
      </w:pPr>
      <w:r>
        <w:rPr>
          <w:rFonts w:hint="eastAsia" w:ascii="宋体" w:hAnsi="宋体"/>
          <w:sz w:val="24"/>
        </w:rPr>
        <w:t>随着超级电容产业的研究与产业化进程深入，超级电容器的研究范围已从现有双电层电容器延伸至以炭基超级电容高功率、长寿命性能为主兼顾电池高能量密度性能的混合型超级电容器，从而实现了能量密度的快速提升，极大程度提升了超级电容器的市场应用能力。但是，由于国内混合型超级电容的产业化研究发展较慢，从而使得新型混合型超级电容器的行业标准一直处于真空状态，国内超级电容生产厂家的混合型超级电容器无合适评价标准进行鉴定。</w:t>
      </w:r>
    </w:p>
    <w:p>
      <w:pPr>
        <w:snapToGrid w:val="0"/>
        <w:spacing w:line="360" w:lineRule="auto"/>
        <w:ind w:firstLine="480" w:firstLineChars="200"/>
        <w:rPr>
          <w:rFonts w:ascii="宋体" w:hAnsi="宋体" w:eastAsia="宋体"/>
          <w:sz w:val="24"/>
        </w:rPr>
      </w:pPr>
      <w:r>
        <w:rPr>
          <w:rFonts w:hint="eastAsia" w:ascii="宋体" w:hAnsi="宋体" w:eastAsia="宋体"/>
          <w:bCs/>
          <w:sz w:val="24"/>
        </w:rPr>
        <w:t>《混合型超级电容器总规范》团体标准的提出，明确了混合型超级电容器的定义，规范了其性能要求，在动力电池的和双电层超级电容器测试方法的基础上提出了新的测试及判定标准，为日后混合型超级电容器的产业化提供依据、为日后应用论证打下了良好的基础</w:t>
      </w:r>
      <w:r>
        <w:rPr>
          <w:rFonts w:ascii="宋体" w:hAnsi="宋体" w:eastAsia="宋体"/>
          <w:color w:val="363636"/>
          <w:sz w:val="24"/>
        </w:rPr>
        <w:t>。</w:t>
      </w:r>
    </w:p>
    <w:p>
      <w:pPr>
        <w:pStyle w:val="8"/>
        <w:numPr>
          <w:ilvl w:val="0"/>
          <w:numId w:val="1"/>
        </w:numPr>
        <w:spacing w:line="360" w:lineRule="auto"/>
        <w:ind w:left="607" w:firstLineChars="0"/>
        <w:jc w:val="left"/>
        <w:rPr>
          <w:rFonts w:ascii="黑体" w:hAnsi="黑体" w:eastAsia="黑体"/>
          <w:b/>
          <w:bCs/>
          <w:sz w:val="28"/>
          <w:szCs w:val="28"/>
        </w:rPr>
      </w:pPr>
      <w:r>
        <w:rPr>
          <w:rFonts w:hint="eastAsia" w:ascii="黑体" w:hAnsi="黑体" w:eastAsia="黑体"/>
          <w:b/>
          <w:bCs/>
          <w:sz w:val="28"/>
          <w:szCs w:val="28"/>
        </w:rPr>
        <w:t>采用国际标准和国外先进标准情况</w:t>
      </w:r>
    </w:p>
    <w:p>
      <w:pPr>
        <w:spacing w:line="360" w:lineRule="auto"/>
        <w:ind w:firstLine="480" w:firstLineChars="200"/>
        <w:jc w:val="left"/>
        <w:rPr>
          <w:rFonts w:ascii="宋体" w:hAnsi="宋体" w:eastAsia="宋体"/>
          <w:bCs/>
          <w:sz w:val="24"/>
        </w:rPr>
      </w:pPr>
      <w:r>
        <w:rPr>
          <w:rFonts w:hint="eastAsia" w:ascii="宋体" w:hAnsi="宋体" w:eastAsia="宋体"/>
          <w:bCs/>
          <w:sz w:val="24"/>
        </w:rPr>
        <w:t>本标准是国内外首次制定的专门准对锂离子电池安全生产的基础标准，没有国际标准和国外先进标准参考。</w:t>
      </w:r>
    </w:p>
    <w:p>
      <w:pPr>
        <w:pStyle w:val="8"/>
        <w:numPr>
          <w:ilvl w:val="0"/>
          <w:numId w:val="1"/>
        </w:numPr>
        <w:spacing w:line="360" w:lineRule="auto"/>
        <w:ind w:left="607" w:firstLineChars="0"/>
        <w:jc w:val="left"/>
        <w:rPr>
          <w:rFonts w:ascii="黑体" w:hAnsi="黑体" w:eastAsia="黑体"/>
          <w:b/>
          <w:bCs/>
          <w:sz w:val="28"/>
          <w:szCs w:val="28"/>
        </w:rPr>
      </w:pPr>
      <w:r>
        <w:rPr>
          <w:rFonts w:hint="eastAsia" w:ascii="黑体" w:hAnsi="黑体" w:eastAsia="黑体"/>
          <w:b/>
          <w:bCs/>
          <w:sz w:val="28"/>
          <w:szCs w:val="28"/>
        </w:rPr>
        <w:t>与现行相关法律、法规、规章及相关标准的协调性</w:t>
      </w:r>
    </w:p>
    <w:p>
      <w:pPr>
        <w:spacing w:line="360" w:lineRule="auto"/>
        <w:ind w:firstLine="480" w:firstLineChars="200"/>
        <w:jc w:val="left"/>
        <w:rPr>
          <w:rFonts w:ascii="宋体" w:hAnsi="宋体" w:eastAsia="宋体"/>
          <w:bCs/>
          <w:sz w:val="24"/>
          <w:szCs w:val="28"/>
        </w:rPr>
      </w:pPr>
      <w:r>
        <w:rPr>
          <w:rFonts w:ascii="宋体" w:hAnsi="宋体" w:eastAsia="宋体"/>
          <w:bCs/>
          <w:sz w:val="24"/>
          <w:szCs w:val="28"/>
        </w:rPr>
        <w:t>本标准符合我国目前法律</w:t>
      </w:r>
      <w:r>
        <w:rPr>
          <w:rFonts w:hint="eastAsia" w:ascii="宋体" w:hAnsi="宋体" w:eastAsia="宋体"/>
          <w:bCs/>
          <w:sz w:val="24"/>
          <w:szCs w:val="28"/>
        </w:rPr>
        <w:t>、</w:t>
      </w:r>
      <w:r>
        <w:rPr>
          <w:rFonts w:ascii="宋体" w:hAnsi="宋体" w:eastAsia="宋体"/>
          <w:bCs/>
          <w:sz w:val="24"/>
          <w:szCs w:val="28"/>
        </w:rPr>
        <w:t>法规的规定</w:t>
      </w:r>
      <w:r>
        <w:rPr>
          <w:rFonts w:hint="eastAsia" w:ascii="宋体" w:hAnsi="宋体" w:eastAsia="宋体"/>
          <w:bCs/>
          <w:sz w:val="24"/>
          <w:szCs w:val="28"/>
        </w:rPr>
        <w:t>。</w:t>
      </w:r>
    </w:p>
    <w:p>
      <w:pPr>
        <w:pStyle w:val="8"/>
        <w:numPr>
          <w:ilvl w:val="0"/>
          <w:numId w:val="1"/>
        </w:numPr>
        <w:spacing w:line="360" w:lineRule="auto"/>
        <w:ind w:left="607" w:firstLineChars="0"/>
        <w:jc w:val="left"/>
        <w:rPr>
          <w:rFonts w:ascii="黑体" w:hAnsi="黑体" w:eastAsia="黑体"/>
          <w:b/>
          <w:bCs/>
          <w:sz w:val="28"/>
          <w:szCs w:val="28"/>
        </w:rPr>
      </w:pPr>
      <w:r>
        <w:rPr>
          <w:rFonts w:hint="eastAsia" w:ascii="黑体" w:hAnsi="黑体" w:eastAsia="黑体"/>
          <w:b/>
          <w:bCs/>
          <w:sz w:val="28"/>
          <w:szCs w:val="28"/>
        </w:rPr>
        <w:t>重大分歧意见的处理经过和依据</w:t>
      </w:r>
    </w:p>
    <w:p>
      <w:pPr>
        <w:spacing w:line="360" w:lineRule="auto"/>
        <w:ind w:firstLine="480" w:firstLineChars="200"/>
        <w:jc w:val="left"/>
        <w:rPr>
          <w:rFonts w:hint="eastAsia" w:ascii="宋体" w:hAnsi="宋体" w:eastAsia="宋体"/>
          <w:bCs/>
          <w:sz w:val="24"/>
          <w:szCs w:val="28"/>
        </w:rPr>
      </w:pPr>
      <w:r>
        <w:rPr>
          <w:rFonts w:hint="eastAsia" w:ascii="宋体" w:hAnsi="宋体" w:eastAsia="宋体"/>
          <w:bCs/>
          <w:sz w:val="24"/>
          <w:szCs w:val="28"/>
        </w:rPr>
        <w:t>本标准的技术内容是由国内混合型超级电容器的生产单位组成的研制工作组起草，并在工作内经反复研讨、达成一致后确定的，研制过程中邀请行业代表和有关专家对标准的内容和关键技术问题进行讨论，无重大分歧意见。</w:t>
      </w:r>
    </w:p>
    <w:p>
      <w:pPr>
        <w:pStyle w:val="8"/>
        <w:numPr>
          <w:ilvl w:val="0"/>
          <w:numId w:val="1"/>
        </w:numPr>
        <w:spacing w:line="360" w:lineRule="auto"/>
        <w:ind w:left="607" w:firstLineChars="0"/>
        <w:jc w:val="left"/>
        <w:rPr>
          <w:rFonts w:ascii="黑体" w:hAnsi="黑体" w:eastAsia="黑体"/>
          <w:b/>
          <w:bCs/>
          <w:sz w:val="28"/>
          <w:szCs w:val="28"/>
        </w:rPr>
      </w:pPr>
      <w:r>
        <w:rPr>
          <w:rFonts w:hint="eastAsia" w:ascii="黑体" w:hAnsi="黑体" w:eastAsia="黑体"/>
          <w:b/>
          <w:bCs/>
          <w:sz w:val="28"/>
          <w:szCs w:val="28"/>
        </w:rPr>
        <w:t>标准性质的建议说明</w:t>
      </w:r>
    </w:p>
    <w:p>
      <w:pPr>
        <w:spacing w:line="360" w:lineRule="auto"/>
        <w:ind w:firstLine="480" w:firstLineChars="200"/>
        <w:jc w:val="left"/>
        <w:rPr>
          <w:rFonts w:ascii="宋体" w:hAnsi="宋体" w:eastAsia="宋体"/>
          <w:bCs/>
          <w:sz w:val="24"/>
          <w:szCs w:val="28"/>
        </w:rPr>
      </w:pPr>
      <w:r>
        <w:rPr>
          <w:rFonts w:hint="eastAsia" w:ascii="宋体" w:hAnsi="宋体" w:eastAsia="宋体"/>
          <w:bCs/>
          <w:sz w:val="24"/>
          <w:szCs w:val="28"/>
        </w:rPr>
        <w:t>作为混合型超级电容器重要的基础标准之一，本标准可作为推荐标准指导对混合型超级电容器的研发、生产和检测，在条件成熟的情况下，建议尽快升级为推荐性国家标准。</w:t>
      </w:r>
    </w:p>
    <w:p>
      <w:pPr>
        <w:pStyle w:val="8"/>
        <w:numPr>
          <w:ilvl w:val="0"/>
          <w:numId w:val="1"/>
        </w:numPr>
        <w:ind w:left="607" w:firstLineChars="0"/>
        <w:jc w:val="left"/>
        <w:rPr>
          <w:rFonts w:ascii="黑体" w:hAnsi="黑体" w:eastAsia="黑体"/>
          <w:b/>
          <w:bCs/>
          <w:sz w:val="28"/>
          <w:szCs w:val="28"/>
        </w:rPr>
      </w:pPr>
      <w:r>
        <w:rPr>
          <w:rFonts w:hint="eastAsia" w:ascii="黑体" w:hAnsi="黑体" w:eastAsia="黑体"/>
          <w:b/>
          <w:bCs/>
          <w:sz w:val="28"/>
          <w:szCs w:val="28"/>
        </w:rPr>
        <w:t>贯彻标准的要求和措施建议</w:t>
      </w:r>
    </w:p>
    <w:p>
      <w:pPr>
        <w:spacing w:line="360" w:lineRule="auto"/>
        <w:ind w:firstLine="480" w:firstLineChars="200"/>
        <w:jc w:val="left"/>
        <w:rPr>
          <w:rFonts w:ascii="宋体" w:hAnsi="宋体" w:eastAsia="宋体"/>
          <w:bCs/>
          <w:sz w:val="24"/>
          <w:szCs w:val="28"/>
        </w:rPr>
      </w:pPr>
      <w:r>
        <w:rPr>
          <w:rFonts w:hint="eastAsia" w:ascii="宋体" w:hAnsi="宋体" w:eastAsia="宋体"/>
          <w:bCs/>
          <w:sz w:val="24"/>
          <w:szCs w:val="28"/>
        </w:rPr>
        <w:t>本标准填补了混合型超级电容器标准方面的空白，且与国家相关标准保持协调一致，建议尽快发布本标准，并于发布后立即实施。</w:t>
      </w:r>
    </w:p>
    <w:p>
      <w:pPr>
        <w:pStyle w:val="8"/>
        <w:numPr>
          <w:ilvl w:val="0"/>
          <w:numId w:val="1"/>
        </w:numPr>
        <w:spacing w:line="360" w:lineRule="auto"/>
        <w:ind w:left="607" w:firstLineChars="0"/>
        <w:jc w:val="left"/>
        <w:rPr>
          <w:rFonts w:ascii="黑体" w:hAnsi="黑体" w:eastAsia="黑体"/>
          <w:b/>
          <w:bCs/>
          <w:sz w:val="28"/>
          <w:szCs w:val="28"/>
        </w:rPr>
      </w:pPr>
      <w:r>
        <w:rPr>
          <w:rFonts w:ascii="黑体" w:hAnsi="黑体" w:eastAsia="黑体"/>
          <w:b/>
          <w:bCs/>
          <w:sz w:val="28"/>
          <w:szCs w:val="28"/>
        </w:rPr>
        <w:t>替代或</w:t>
      </w:r>
      <w:r>
        <w:rPr>
          <w:rFonts w:hint="eastAsia" w:ascii="黑体" w:hAnsi="黑体" w:eastAsia="黑体"/>
          <w:b/>
          <w:bCs/>
          <w:sz w:val="28"/>
          <w:szCs w:val="28"/>
        </w:rPr>
        <w:t>废止现行相关标准的建议</w:t>
      </w:r>
    </w:p>
    <w:p>
      <w:pPr>
        <w:pStyle w:val="8"/>
        <w:spacing w:line="360" w:lineRule="auto"/>
        <w:ind w:left="567" w:firstLine="0" w:firstLineChars="0"/>
        <w:jc w:val="left"/>
        <w:rPr>
          <w:rFonts w:ascii="宋体" w:hAnsi="宋体" w:eastAsia="宋体"/>
          <w:bCs/>
          <w:sz w:val="24"/>
          <w:szCs w:val="28"/>
        </w:rPr>
      </w:pPr>
      <w:r>
        <w:rPr>
          <w:rFonts w:ascii="宋体" w:hAnsi="宋体" w:eastAsia="宋体"/>
          <w:bCs/>
          <w:sz w:val="24"/>
          <w:szCs w:val="28"/>
        </w:rPr>
        <w:t>无</w:t>
      </w:r>
      <w:r>
        <w:rPr>
          <w:rFonts w:hint="eastAsia" w:ascii="宋体" w:hAnsi="宋体" w:eastAsia="宋体"/>
          <w:bCs/>
          <w:sz w:val="24"/>
          <w:szCs w:val="28"/>
        </w:rPr>
        <w:t>。</w:t>
      </w:r>
    </w:p>
    <w:p>
      <w:pPr>
        <w:pStyle w:val="8"/>
        <w:numPr>
          <w:ilvl w:val="0"/>
          <w:numId w:val="1"/>
        </w:numPr>
        <w:spacing w:line="360" w:lineRule="auto"/>
        <w:ind w:left="607" w:firstLineChars="0"/>
        <w:jc w:val="left"/>
        <w:rPr>
          <w:rFonts w:ascii="黑体" w:hAnsi="黑体" w:eastAsia="黑体"/>
          <w:b/>
          <w:bCs/>
          <w:sz w:val="28"/>
          <w:szCs w:val="28"/>
        </w:rPr>
      </w:pPr>
      <w:r>
        <w:rPr>
          <w:rFonts w:hint="eastAsia" w:ascii="黑体" w:hAnsi="黑体" w:eastAsia="黑体"/>
          <w:b/>
          <w:bCs/>
          <w:sz w:val="28"/>
          <w:szCs w:val="28"/>
        </w:rPr>
        <w:t>其它应予说明的事项</w:t>
      </w:r>
    </w:p>
    <w:p>
      <w:pPr>
        <w:spacing w:line="360" w:lineRule="auto"/>
        <w:ind w:left="567"/>
        <w:rPr>
          <w:rFonts w:ascii="宋体" w:hAnsi="宋体" w:eastAsia="宋体"/>
          <w:bCs/>
          <w:sz w:val="24"/>
          <w:szCs w:val="32"/>
        </w:rPr>
      </w:pPr>
      <w:r>
        <w:rPr>
          <w:rFonts w:hint="eastAsia" w:ascii="宋体" w:hAnsi="宋体" w:eastAsia="宋体"/>
          <w:bCs/>
          <w:sz w:val="24"/>
          <w:szCs w:val="32"/>
        </w:rPr>
        <w:t>无。</w:t>
      </w:r>
    </w:p>
    <w:p>
      <w:pPr>
        <w:ind w:left="720"/>
        <w:rPr>
          <w:rFonts w:ascii="宋体" w:hAnsi="宋体" w:eastAsia="宋体"/>
          <w:bCs/>
          <w:sz w:val="28"/>
          <w:szCs w:val="32"/>
        </w:rPr>
      </w:pPr>
    </w:p>
    <w:p>
      <w:pPr>
        <w:jc w:val="right"/>
        <w:rPr>
          <w:rFonts w:ascii="仿宋" w:hAnsi="仿宋" w:eastAsia="仿宋"/>
          <w:sz w:val="24"/>
          <w:szCs w:val="28"/>
        </w:rPr>
      </w:pPr>
      <w:r>
        <w:rPr>
          <w:rFonts w:hint="eastAsia" w:ascii="仿宋" w:hAnsi="仿宋" w:eastAsia="仿宋"/>
          <w:sz w:val="24"/>
          <w:szCs w:val="28"/>
        </w:rPr>
        <w:t>《混合型超级电容器总规范》编制工作组</w:t>
      </w:r>
    </w:p>
    <w:p>
      <w:pPr>
        <w:jc w:val="right"/>
        <w:rPr>
          <w:rFonts w:ascii="仿宋" w:hAnsi="仿宋" w:eastAsia="仿宋"/>
          <w:sz w:val="24"/>
          <w:szCs w:val="28"/>
        </w:rPr>
      </w:pPr>
      <w:r>
        <w:rPr>
          <w:rFonts w:hint="eastAsia" w:ascii="仿宋" w:hAnsi="仿宋" w:eastAsia="仿宋"/>
          <w:sz w:val="24"/>
          <w:szCs w:val="28"/>
        </w:rPr>
        <w:t>2017-11-</w:t>
      </w:r>
      <w:r>
        <w:rPr>
          <w:rFonts w:ascii="仿宋" w:hAnsi="仿宋" w:eastAsia="仿宋"/>
          <w:sz w:val="24"/>
          <w:szCs w:val="28"/>
        </w:rPr>
        <w:t>20</w:t>
      </w:r>
    </w:p>
    <w:p>
      <w:pPr>
        <w:ind w:left="720"/>
        <w:rPr>
          <w:rFonts w:ascii="宋体" w:hAnsi="宋体" w:eastAsia="宋体"/>
          <w:sz w:val="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CF3C52" w:usb2="00000016" w:usb3="00000000" w:csb0="0004001F" w:csb1="00000000"/>
  </w:font>
  <w:font w:name="MS Mincho">
    <w:altName w:val="MS UI Gothic"/>
    <w:panose1 w:val="02020609040205080304"/>
    <w:charset w:val="80"/>
    <w:family w:val="modern"/>
    <w:pitch w:val="default"/>
    <w:sig w:usb0="00000000" w:usb1="00000000" w:usb2="08000012" w:usb3="00000000" w:csb0="4002009F" w:csb1="DFD70000"/>
  </w:font>
  <w:font w:name="仿宋_GB2312">
    <w:altName w:val="仿宋"/>
    <w:panose1 w:val="00000000000000000000"/>
    <w:charset w:val="00"/>
    <w:family w:val="auto"/>
    <w:pitch w:val="default"/>
    <w:sig w:usb0="00000000" w:usb1="00000000" w:usb2="00000000" w:usb3="00000000" w:csb0="00000000" w:csb1="00000000"/>
  </w:font>
  <w:font w:name="MS UI Gothic">
    <w:panose1 w:val="020B0600070205080204"/>
    <w:charset w:val="80"/>
    <w:family w:val="auto"/>
    <w:pitch w:val="default"/>
    <w:sig w:usb0="E00002FF" w:usb1="6AC7FDFB" w:usb2="08000012" w:usb3="00000000" w:csb0="4002009F" w:csb1="DFD7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Batang">
    <w:altName w:val="Malgun Gothic"/>
    <w:panose1 w:val="02030600000101010101"/>
    <w:charset w:val="81"/>
    <w:family w:val="auto"/>
    <w:pitch w:val="default"/>
    <w:sig w:usb0="00000000" w:usb1="00000000" w:usb2="00000030" w:usb3="00000000" w:csb0="4008009F" w:csb1="DFD70000"/>
  </w:font>
  <w:font w:name="幼圆">
    <w:panose1 w:val="02010509060101010101"/>
    <w:charset w:val="86"/>
    <w:family w:val="auto"/>
    <w:pitch w:val="default"/>
    <w:sig w:usb0="00000001" w:usb1="080E0000" w:usb2="00000000" w:usb3="00000000" w:csb0="00040000" w:csb1="00000000"/>
  </w:font>
  <w:font w:name="Malgun Gothic">
    <w:panose1 w:val="020B0503020000020004"/>
    <w:charset w:val="81"/>
    <w:family w:val="auto"/>
    <w:pitch w:val="default"/>
    <w:sig w:usb0="9000002F" w:usb1="29D77CFB" w:usb2="00000012" w:usb3="00000000" w:csb0="00080001" w:csb1="00000000"/>
  </w:font>
  <w:font w:name="Courier New">
    <w:panose1 w:val="02070309020205020404"/>
    <w:charset w:val="00"/>
    <w:family w:val="modern"/>
    <w:pitch w:val="default"/>
    <w:sig w:usb0="E0002E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F87262"/>
    <w:multiLevelType w:val="multilevel"/>
    <w:tmpl w:val="54F87262"/>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1">
    <w:nsid w:val="566A797E"/>
    <w:multiLevelType w:val="multilevel"/>
    <w:tmpl w:val="566A797E"/>
    <w:lvl w:ilvl="0" w:tentative="0">
      <w:start w:val="1"/>
      <w:numFmt w:val="chineseCountingThousand"/>
      <w:lvlText w:val="%1、"/>
      <w:lvlJc w:val="left"/>
      <w:pPr>
        <w:ind w:left="567" w:hanging="567"/>
      </w:pPr>
      <w:rPr>
        <w:rFonts w:hint="default" w:ascii="黑体" w:hAnsi="黑体" w:eastAsia="黑体"/>
        <w:b/>
        <w:lang w:val="en-US"/>
      </w:rPr>
    </w:lvl>
    <w:lvl w:ilvl="1" w:tentative="0">
      <w:start w:val="1"/>
      <w:numFmt w:val="decimal"/>
      <w:suff w:val="space"/>
      <w:lvlText w:val="%2、"/>
      <w:lvlJc w:val="left"/>
      <w:pPr>
        <w:ind w:left="992" w:firstLine="0"/>
      </w:pPr>
      <w:rPr>
        <w:rFonts w:hint="default"/>
        <w:b w:val="0"/>
        <w:sz w:val="24"/>
        <w:szCs w:val="28"/>
      </w:rPr>
    </w:lvl>
    <w:lvl w:ilvl="2" w:tentative="0">
      <w:start w:val="1"/>
      <w:numFmt w:val="decimal"/>
      <w:lvlText w:val="%1.%2.%3"/>
      <w:lvlJc w:val="left"/>
      <w:pPr>
        <w:ind w:left="1418" w:hanging="567"/>
      </w:pPr>
      <w:rPr>
        <w:rFonts w:hint="eastAsia" w:ascii="宋体" w:hAnsi="宋体" w:eastAsia="宋体"/>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E04B37"/>
    <w:rsid w:val="0002299B"/>
    <w:rsid w:val="000443D1"/>
    <w:rsid w:val="001634A5"/>
    <w:rsid w:val="00182E4C"/>
    <w:rsid w:val="001C5957"/>
    <w:rsid w:val="001D4FE1"/>
    <w:rsid w:val="00275513"/>
    <w:rsid w:val="002F565E"/>
    <w:rsid w:val="00364434"/>
    <w:rsid w:val="00382A4A"/>
    <w:rsid w:val="003B1ED0"/>
    <w:rsid w:val="00450185"/>
    <w:rsid w:val="0049309F"/>
    <w:rsid w:val="004C1AE6"/>
    <w:rsid w:val="007A3D8A"/>
    <w:rsid w:val="00867E33"/>
    <w:rsid w:val="009459E6"/>
    <w:rsid w:val="00A91EFA"/>
    <w:rsid w:val="00AA257C"/>
    <w:rsid w:val="00AF3789"/>
    <w:rsid w:val="00B041F8"/>
    <w:rsid w:val="00B35BFE"/>
    <w:rsid w:val="00B554F4"/>
    <w:rsid w:val="00B65368"/>
    <w:rsid w:val="00B70314"/>
    <w:rsid w:val="00C42F51"/>
    <w:rsid w:val="00C550B8"/>
    <w:rsid w:val="00C81CA4"/>
    <w:rsid w:val="00C9334A"/>
    <w:rsid w:val="00CA7220"/>
    <w:rsid w:val="00D74095"/>
    <w:rsid w:val="00DE418F"/>
    <w:rsid w:val="00DE6289"/>
    <w:rsid w:val="00ED59E8"/>
    <w:rsid w:val="00F66DA0"/>
    <w:rsid w:val="00F9315F"/>
    <w:rsid w:val="00FD631B"/>
    <w:rsid w:val="00FF2609"/>
    <w:rsid w:val="0D730C8E"/>
    <w:rsid w:val="0FE04B37"/>
    <w:rsid w:val="25B67BC6"/>
    <w:rsid w:val="2AB31373"/>
    <w:rsid w:val="3EAD57D3"/>
    <w:rsid w:val="4DF056A4"/>
    <w:rsid w:val="71B87755"/>
    <w:rsid w:val="7C8219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3">
    <w:name w:val="heading 2"/>
    <w:basedOn w:val="1"/>
    <w:next w:val="1"/>
    <w:link w:val="12"/>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4">
    <w:name w:val="footer"/>
    <w:basedOn w:val="1"/>
    <w:link w:val="10"/>
    <w:uiPriority w:val="0"/>
    <w:pPr>
      <w:tabs>
        <w:tab w:val="center" w:pos="4153"/>
        <w:tab w:val="right" w:pos="8306"/>
      </w:tabs>
      <w:snapToGrid w:val="0"/>
      <w:jc w:val="left"/>
    </w:pPr>
    <w:rPr>
      <w:sz w:val="18"/>
      <w:szCs w:val="18"/>
    </w:rPr>
  </w:style>
  <w:style w:type="paragraph" w:styleId="5">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8">
    <w:name w:val="List Paragraph"/>
    <w:basedOn w:val="1"/>
    <w:uiPriority w:val="99"/>
    <w:pPr>
      <w:ind w:firstLine="420" w:firstLineChars="200"/>
    </w:pPr>
  </w:style>
  <w:style w:type="character" w:customStyle="1" w:styleId="9">
    <w:name w:val="页眉 Char"/>
    <w:basedOn w:val="6"/>
    <w:link w:val="5"/>
    <w:uiPriority w:val="0"/>
    <w:rPr>
      <w:kern w:val="2"/>
      <w:sz w:val="18"/>
      <w:szCs w:val="18"/>
    </w:rPr>
  </w:style>
  <w:style w:type="character" w:customStyle="1" w:styleId="10">
    <w:name w:val="页脚 Char"/>
    <w:basedOn w:val="6"/>
    <w:link w:val="4"/>
    <w:uiPriority w:val="0"/>
    <w:rPr>
      <w:kern w:val="2"/>
      <w:sz w:val="18"/>
      <w:szCs w:val="18"/>
    </w:rPr>
  </w:style>
  <w:style w:type="character" w:customStyle="1" w:styleId="11">
    <w:name w:val="标题 1 Char"/>
    <w:basedOn w:val="6"/>
    <w:link w:val="2"/>
    <w:uiPriority w:val="0"/>
    <w:rPr>
      <w:rFonts w:ascii="宋体" w:hAnsi="宋体" w:eastAsia="宋体" w:cs="Times New Roman"/>
      <w:b/>
      <w:kern w:val="44"/>
      <w:sz w:val="48"/>
      <w:szCs w:val="48"/>
    </w:rPr>
  </w:style>
  <w:style w:type="character" w:customStyle="1" w:styleId="12">
    <w:name w:val="标题 2 Char"/>
    <w:basedOn w:val="6"/>
    <w:link w:val="3"/>
    <w:uiPriority w:val="0"/>
    <w:rPr>
      <w:rFonts w:asciiTheme="majorHAnsi" w:hAnsiTheme="majorHAnsi" w:eastAsiaTheme="majorEastAsia" w:cstheme="majorBidi"/>
      <w:b/>
      <w:bCs/>
      <w:kern w:val="2"/>
      <w:sz w:val="32"/>
      <w:szCs w:val="32"/>
    </w:rPr>
  </w:style>
  <w:style w:type="character" w:customStyle="1" w:styleId="13">
    <w:name w:val="段 Char"/>
    <w:link w:val="14"/>
    <w:qFormat/>
    <w:locked/>
    <w:uiPriority w:val="0"/>
    <w:rPr>
      <w:rFonts w:ascii="宋体" w:eastAsia="宋体"/>
      <w:kern w:val="2"/>
      <w:sz w:val="21"/>
      <w:szCs w:val="22"/>
    </w:rPr>
  </w:style>
  <w:style w:type="paragraph" w:customStyle="1" w:styleId="14">
    <w:name w:val="段"/>
    <w:link w:val="13"/>
    <w:qFormat/>
    <w:uiPriority w:val="0"/>
    <w:pPr>
      <w:tabs>
        <w:tab w:val="center" w:pos="4201"/>
        <w:tab w:val="right" w:leader="dot" w:pos="9298"/>
      </w:tabs>
      <w:autoSpaceDE w:val="0"/>
      <w:autoSpaceDN w:val="0"/>
      <w:ind w:firstLine="420" w:firstLineChars="200"/>
      <w:jc w:val="both"/>
    </w:pPr>
    <w:rPr>
      <w:rFonts w:ascii="宋体" w:eastAsia="宋体" w:hAnsiTheme="minorHAnsi"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7B4F9B-9794-4FB4-8B00-95E10C85EF9F}">
  <ds:schemaRefs/>
</ds:datastoreItem>
</file>

<file path=docProps/app.xml><?xml version="1.0" encoding="utf-8"?>
<Properties xmlns="http://schemas.openxmlformats.org/officeDocument/2006/extended-properties" xmlns:vt="http://schemas.openxmlformats.org/officeDocument/2006/docPropsVTypes">
  <Template>Normal</Template>
  <Pages>4</Pages>
  <Words>402</Words>
  <Characters>2295</Characters>
  <Lines>19</Lines>
  <Paragraphs>5</Paragraphs>
  <TotalTime>0</TotalTime>
  <ScaleCrop>false</ScaleCrop>
  <LinksUpToDate>false</LinksUpToDate>
  <CharactersWithSpaces>2692</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2016-10-10T14:05:00Z</dcterms:created>
  <dc:creator>lishuai</dc:creator>
  <cp:lastModifiedBy>鑫有灵犀</cp:lastModifiedBy>
  <dcterms:modified xsi:type="dcterms:W3CDTF">2017-11-22T01:28:20Z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