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2"/>
        <w:jc w:val="center"/>
        <w:rPr>
          <w:rFonts w:ascii="黑体" w:hAnsi="黑体" w:eastAsia="黑体"/>
          <w:b/>
          <w:sz w:val="32"/>
          <w:szCs w:val="32"/>
        </w:rPr>
      </w:pPr>
      <w:r>
        <w:rPr>
          <w:rFonts w:hint="eastAsia" w:ascii="黑体" w:hAnsi="黑体" w:eastAsia="黑体"/>
          <w:b/>
          <w:sz w:val="32"/>
          <w:szCs w:val="32"/>
        </w:rPr>
        <w:t>《超级电容器安全技术规范 第1部分：通用条件》标准编制说明</w:t>
      </w:r>
    </w:p>
    <w:p>
      <w:pPr>
        <w:pStyle w:val="8"/>
        <w:numPr>
          <w:ilvl w:val="0"/>
          <w:numId w:val="1"/>
        </w:numPr>
        <w:ind w:left="607" w:firstLineChars="0"/>
        <w:jc w:val="left"/>
        <w:rPr>
          <w:rFonts w:ascii="黑体" w:hAnsi="黑体" w:eastAsia="黑体"/>
          <w:b/>
          <w:bCs/>
          <w:sz w:val="28"/>
          <w:szCs w:val="32"/>
        </w:rPr>
      </w:pPr>
      <w:r>
        <w:rPr>
          <w:rFonts w:hint="eastAsia" w:ascii="黑体" w:hAnsi="黑体" w:eastAsia="黑体"/>
          <w:b/>
          <w:bCs/>
          <w:sz w:val="28"/>
          <w:szCs w:val="32"/>
        </w:rPr>
        <w:t>工作简况</w:t>
      </w:r>
    </w:p>
    <w:p>
      <w:pPr>
        <w:pStyle w:val="8"/>
        <w:numPr>
          <w:ilvl w:val="1"/>
          <w:numId w:val="1"/>
        </w:numPr>
        <w:ind w:left="1140" w:leftChars="200" w:hanging="720" w:hangingChars="300"/>
        <w:jc w:val="left"/>
        <w:rPr>
          <w:rFonts w:ascii="宋体" w:hAnsi="宋体" w:eastAsia="宋体"/>
          <w:bCs/>
          <w:sz w:val="24"/>
          <w:szCs w:val="32"/>
        </w:rPr>
      </w:pPr>
      <w:r>
        <w:rPr>
          <w:rFonts w:hint="eastAsia" w:ascii="宋体" w:hAnsi="宋体" w:eastAsia="宋体"/>
          <w:bCs/>
          <w:sz w:val="24"/>
          <w:szCs w:val="32"/>
        </w:rPr>
        <w:t>任务来源</w:t>
      </w:r>
    </w:p>
    <w:p>
      <w:pPr>
        <w:pStyle w:val="2"/>
        <w:widowControl/>
        <w:spacing w:beforeAutospacing="0" w:after="150" w:afterAutospacing="0" w:line="360" w:lineRule="auto"/>
        <w:ind w:firstLine="480" w:firstLineChars="200"/>
        <w:rPr>
          <w:rFonts w:hint="default"/>
          <w:bCs/>
          <w:sz w:val="24"/>
          <w:szCs w:val="28"/>
        </w:rPr>
      </w:pPr>
      <w:r>
        <w:rPr>
          <w:rFonts w:cstheme="minorBidi"/>
          <w:b w:val="0"/>
          <w:bCs/>
          <w:kern w:val="2"/>
          <w:sz w:val="24"/>
          <w:szCs w:val="28"/>
        </w:rPr>
        <w:t>本标准由中国超级电容产业联盟在2017年6月9日“超级电容器领域标准化工作会议”上提出并通过专家讨论予以立项，为提高标准的公正性联盟组织行业各相关企业积极参与标准的制、修订工作。由宁波中车新能源科技有限公司等国内主要的超级电容器研制生产企业共同参加《超级电容器安全技术规范：第1部分：通用条件》团体标准的编制。</w:t>
      </w:r>
    </w:p>
    <w:p>
      <w:pPr>
        <w:pStyle w:val="8"/>
        <w:numPr>
          <w:ilvl w:val="1"/>
          <w:numId w:val="1"/>
        </w:numPr>
        <w:ind w:left="1140" w:leftChars="200" w:hanging="720" w:hangingChars="300"/>
        <w:jc w:val="left"/>
        <w:rPr>
          <w:rFonts w:ascii="宋体" w:hAnsi="宋体" w:eastAsia="宋体"/>
          <w:bCs/>
          <w:sz w:val="22"/>
          <w:szCs w:val="28"/>
        </w:rPr>
      </w:pPr>
      <w:r>
        <w:rPr>
          <w:rFonts w:hint="eastAsia" w:ascii="宋体" w:hAnsi="宋体" w:eastAsia="宋体"/>
          <w:bCs/>
          <w:sz w:val="24"/>
          <w:szCs w:val="32"/>
        </w:rPr>
        <w:t>主要工作过程</w:t>
      </w:r>
    </w:p>
    <w:p>
      <w:pPr>
        <w:spacing w:line="360" w:lineRule="auto"/>
        <w:ind w:firstLine="480" w:firstLineChars="200"/>
        <w:jc w:val="left"/>
        <w:rPr>
          <w:rFonts w:ascii="宋体" w:hAnsi="宋体" w:eastAsia="宋体"/>
          <w:bCs/>
          <w:sz w:val="24"/>
          <w:szCs w:val="28"/>
        </w:rPr>
      </w:pPr>
      <w:r>
        <w:rPr>
          <w:rFonts w:hint="eastAsia" w:ascii="宋体" w:hAnsi="宋体" w:eastAsia="宋体"/>
          <w:bCs/>
          <w:sz w:val="24"/>
          <w:szCs w:val="28"/>
        </w:rPr>
        <w:t>2017年6月9日，由超电联盟组织召开“超级电容器领域标准化工作会议”，</w:t>
      </w:r>
      <w:r>
        <w:rPr>
          <w:rFonts w:ascii="宋体" w:hAnsi="宋体" w:eastAsia="宋体"/>
          <w:bCs/>
          <w:sz w:val="24"/>
          <w:szCs w:val="28"/>
        </w:rPr>
        <w:t>会上通过联盟成员及行业专家讨论予以本标准立项，并对任务分工和下一步的工作进行了安排；</w:t>
      </w:r>
    </w:p>
    <w:p>
      <w:pPr>
        <w:spacing w:line="360" w:lineRule="auto"/>
        <w:ind w:firstLine="480" w:firstLineChars="200"/>
        <w:jc w:val="left"/>
        <w:rPr>
          <w:rFonts w:ascii="宋体" w:hAnsi="宋体" w:eastAsia="宋体" w:cs="Times New Roman"/>
          <w:bCs/>
          <w:kern w:val="44"/>
          <w:sz w:val="24"/>
          <w:szCs w:val="28"/>
        </w:rPr>
      </w:pPr>
      <w:r>
        <w:rPr>
          <w:rFonts w:ascii="宋体" w:hAnsi="宋体" w:eastAsia="宋体"/>
          <w:bCs/>
          <w:sz w:val="24"/>
          <w:szCs w:val="28"/>
        </w:rPr>
        <w:t>启动</w:t>
      </w:r>
      <w:r>
        <w:rPr>
          <w:rFonts w:ascii="宋体" w:hAnsi="宋体" w:eastAsia="宋体" w:cs="Times New Roman"/>
          <w:bCs/>
          <w:kern w:val="44"/>
          <w:sz w:val="24"/>
          <w:szCs w:val="28"/>
        </w:rPr>
        <w:t>会后，由宁波中车新能源科技</w:t>
      </w:r>
      <w:r>
        <w:rPr>
          <w:rFonts w:hint="eastAsia" w:ascii="宋体" w:hAnsi="宋体" w:eastAsia="宋体" w:cs="Times New Roman"/>
          <w:bCs/>
          <w:kern w:val="44"/>
          <w:sz w:val="24"/>
          <w:szCs w:val="28"/>
        </w:rPr>
        <w:t>有限公司成立了标准起草工作组，确定工作方案，提出进度安排，开展了相关产品的调研以及有关资料和产品数据的收集、编</w:t>
      </w:r>
      <w:r>
        <w:rPr>
          <w:rFonts w:hint="eastAsia" w:ascii="宋体" w:hAnsi="宋体" w:eastAsia="宋体"/>
          <w:bCs/>
          <w:sz w:val="24"/>
          <w:szCs w:val="28"/>
        </w:rPr>
        <w:t>制工作，经全面地总结和归纳，编制了《超级电容器</w:t>
      </w:r>
      <w:r>
        <w:rPr>
          <w:rFonts w:ascii="宋体" w:hAnsi="宋体" w:eastAsia="宋体"/>
          <w:bCs/>
          <w:sz w:val="24"/>
          <w:szCs w:val="28"/>
        </w:rPr>
        <w:t>安全技术</w:t>
      </w:r>
      <w:r>
        <w:rPr>
          <w:rFonts w:hint="eastAsia" w:ascii="宋体" w:hAnsi="宋体" w:eastAsia="宋体"/>
          <w:bCs/>
          <w:sz w:val="24"/>
          <w:szCs w:val="28"/>
        </w:rPr>
        <w:t>规范》标准</w:t>
      </w:r>
      <w:r>
        <w:rPr>
          <w:rFonts w:ascii="宋体" w:hAnsi="宋体" w:eastAsia="宋体"/>
          <w:bCs/>
          <w:sz w:val="24"/>
          <w:szCs w:val="28"/>
        </w:rPr>
        <w:t>草案；</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2017年8月26日，超电联盟组织召开了第一次标准草案审议会议，会议详细讨论了</w:t>
      </w:r>
      <w:r>
        <w:rPr>
          <w:rFonts w:hint="eastAsia" w:ascii="宋体" w:hAnsi="宋体" w:eastAsia="宋体"/>
          <w:bCs/>
          <w:sz w:val="24"/>
          <w:szCs w:val="28"/>
        </w:rPr>
        <w:t>《超级电容器</w:t>
      </w:r>
      <w:r>
        <w:rPr>
          <w:rFonts w:ascii="宋体" w:hAnsi="宋体" w:eastAsia="宋体"/>
          <w:bCs/>
          <w:sz w:val="24"/>
          <w:szCs w:val="28"/>
        </w:rPr>
        <w:t>安全技术</w:t>
      </w:r>
      <w:r>
        <w:rPr>
          <w:rFonts w:hint="eastAsia" w:ascii="宋体" w:hAnsi="宋体" w:eastAsia="宋体"/>
          <w:bCs/>
          <w:sz w:val="24"/>
          <w:szCs w:val="28"/>
        </w:rPr>
        <w:t>规范》标准</w:t>
      </w:r>
      <w:r>
        <w:rPr>
          <w:rFonts w:ascii="宋体" w:hAnsi="宋体" w:eastAsia="宋体"/>
          <w:bCs/>
          <w:sz w:val="24"/>
          <w:szCs w:val="28"/>
        </w:rPr>
        <w:t>草案，并确定将本标准分为两个部分，由标准起草工作组对</w:t>
      </w:r>
      <w:r>
        <w:rPr>
          <w:rFonts w:hint="eastAsia" w:ascii="宋体" w:hAnsi="宋体" w:eastAsia="宋体"/>
          <w:bCs/>
          <w:sz w:val="24"/>
          <w:szCs w:val="28"/>
        </w:rPr>
        <w:t>《</w:t>
      </w:r>
      <w:r>
        <w:rPr>
          <w:rFonts w:ascii="宋体" w:hAnsi="宋体" w:eastAsia="宋体"/>
          <w:bCs/>
          <w:sz w:val="24"/>
          <w:szCs w:val="28"/>
        </w:rPr>
        <w:t>超级电容器安全技术</w:t>
      </w:r>
      <w:r>
        <w:rPr>
          <w:rFonts w:hint="eastAsia" w:ascii="宋体" w:hAnsi="宋体" w:eastAsia="宋体"/>
          <w:bCs/>
          <w:sz w:val="24"/>
          <w:szCs w:val="28"/>
        </w:rPr>
        <w:t>规范</w:t>
      </w:r>
      <w:r>
        <w:rPr>
          <w:rFonts w:ascii="宋体" w:hAnsi="宋体" w:eastAsia="宋体"/>
          <w:bCs/>
          <w:sz w:val="24"/>
          <w:szCs w:val="28"/>
        </w:rPr>
        <w:t>：第1部分：通用条件</w:t>
      </w:r>
      <w:r>
        <w:rPr>
          <w:rFonts w:hint="eastAsia" w:ascii="宋体" w:hAnsi="宋体" w:eastAsia="宋体"/>
          <w:bCs/>
          <w:sz w:val="24"/>
          <w:szCs w:val="28"/>
        </w:rPr>
        <w:t>》</w:t>
      </w:r>
      <w:r>
        <w:rPr>
          <w:rFonts w:ascii="宋体" w:hAnsi="宋体" w:eastAsia="宋体"/>
          <w:bCs/>
          <w:sz w:val="24"/>
          <w:szCs w:val="28"/>
        </w:rPr>
        <w:t>进行修改</w:t>
      </w:r>
      <w:r>
        <w:rPr>
          <w:rFonts w:hint="eastAsia" w:ascii="宋体" w:hAnsi="宋体" w:eastAsia="宋体"/>
          <w:bCs/>
          <w:sz w:val="24"/>
          <w:szCs w:val="28"/>
        </w:rPr>
        <w:t>。</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第一次标准草案审议会议后</w:t>
      </w:r>
      <w:r>
        <w:rPr>
          <w:rFonts w:hint="eastAsia" w:ascii="宋体" w:hAnsi="宋体" w:eastAsia="宋体"/>
          <w:bCs/>
          <w:sz w:val="24"/>
          <w:szCs w:val="28"/>
        </w:rPr>
        <w:t>，</w:t>
      </w:r>
      <w:r>
        <w:rPr>
          <w:rFonts w:ascii="宋体" w:hAnsi="宋体" w:eastAsia="宋体"/>
          <w:bCs/>
          <w:sz w:val="24"/>
          <w:szCs w:val="28"/>
        </w:rPr>
        <w:t>标准起草工作组根据会议讨论情况</w:t>
      </w:r>
      <w:r>
        <w:rPr>
          <w:rFonts w:hint="eastAsia" w:ascii="宋体" w:hAnsi="宋体" w:eastAsia="宋体"/>
          <w:bCs/>
          <w:sz w:val="24"/>
          <w:szCs w:val="28"/>
        </w:rPr>
        <w:t>，</w:t>
      </w:r>
      <w:r>
        <w:rPr>
          <w:rFonts w:ascii="宋体" w:hAnsi="宋体" w:eastAsia="宋体"/>
          <w:bCs/>
          <w:sz w:val="24"/>
          <w:szCs w:val="28"/>
        </w:rPr>
        <w:t>对标准进行了进一步的修改</w:t>
      </w:r>
      <w:r>
        <w:rPr>
          <w:rFonts w:hint="eastAsia" w:ascii="宋体" w:hAnsi="宋体" w:eastAsia="宋体"/>
          <w:bCs/>
          <w:sz w:val="24"/>
          <w:szCs w:val="28"/>
        </w:rPr>
        <w:t>，</w:t>
      </w:r>
      <w:r>
        <w:rPr>
          <w:rFonts w:ascii="宋体" w:hAnsi="宋体" w:eastAsia="宋体"/>
          <w:bCs/>
          <w:sz w:val="24"/>
          <w:szCs w:val="28"/>
        </w:rPr>
        <w:t>同时针对有疑问的项目进行了资料查询</w:t>
      </w:r>
      <w:r>
        <w:rPr>
          <w:rFonts w:hint="eastAsia" w:ascii="宋体" w:hAnsi="宋体" w:eastAsia="宋体"/>
          <w:bCs/>
          <w:sz w:val="24"/>
          <w:szCs w:val="28"/>
        </w:rPr>
        <w:t>；</w:t>
      </w:r>
      <w:r>
        <w:rPr>
          <w:rFonts w:ascii="宋体" w:hAnsi="宋体" w:eastAsia="宋体"/>
          <w:bCs/>
          <w:sz w:val="24"/>
          <w:szCs w:val="28"/>
        </w:rPr>
        <w:t>2017年10-11月</w:t>
      </w:r>
      <w:r>
        <w:rPr>
          <w:rFonts w:hint="eastAsia" w:ascii="宋体" w:hAnsi="宋体" w:eastAsia="宋体"/>
          <w:bCs/>
          <w:sz w:val="24"/>
          <w:szCs w:val="28"/>
        </w:rPr>
        <w:t>，</w:t>
      </w:r>
      <w:r>
        <w:rPr>
          <w:rFonts w:ascii="宋体" w:hAnsi="宋体" w:eastAsia="宋体"/>
          <w:bCs/>
          <w:sz w:val="24"/>
          <w:szCs w:val="28"/>
        </w:rPr>
        <w:t>工作组</w:t>
      </w:r>
      <w:r>
        <w:rPr>
          <w:rFonts w:hint="eastAsia" w:ascii="宋体" w:hAnsi="宋体" w:eastAsia="宋体"/>
          <w:bCs/>
          <w:sz w:val="24"/>
          <w:szCs w:val="28"/>
        </w:rPr>
        <w:t>将</w:t>
      </w:r>
      <w:r>
        <w:rPr>
          <w:rFonts w:ascii="宋体" w:hAnsi="宋体" w:eastAsia="宋体"/>
          <w:bCs/>
          <w:sz w:val="24"/>
          <w:szCs w:val="28"/>
        </w:rPr>
        <w:t>标准修订稿发给联盟成员广泛征求意见；</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2017年11月10日，超电联盟组织召开了第二次标准草案审议会议，会议</w:t>
      </w:r>
      <w:r>
        <w:rPr>
          <w:rFonts w:hint="eastAsia" w:ascii="宋体" w:hAnsi="宋体" w:eastAsia="宋体"/>
          <w:bCs/>
          <w:sz w:val="24"/>
          <w:szCs w:val="28"/>
        </w:rPr>
        <w:t>重点</w:t>
      </w:r>
      <w:r>
        <w:rPr>
          <w:rFonts w:ascii="宋体" w:hAnsi="宋体" w:eastAsia="宋体"/>
          <w:bCs/>
          <w:sz w:val="24"/>
          <w:szCs w:val="28"/>
        </w:rPr>
        <w:t>对工作组反馈意见进行了充分讨论</w:t>
      </w:r>
      <w:r>
        <w:rPr>
          <w:rFonts w:hint="eastAsia" w:ascii="宋体" w:hAnsi="宋体" w:eastAsia="宋体"/>
          <w:bCs/>
          <w:sz w:val="24"/>
          <w:szCs w:val="28"/>
        </w:rPr>
        <w:t>，</w:t>
      </w:r>
      <w:r>
        <w:rPr>
          <w:rFonts w:ascii="宋体" w:hAnsi="宋体" w:eastAsia="宋体"/>
          <w:bCs/>
          <w:sz w:val="24"/>
          <w:szCs w:val="28"/>
        </w:rPr>
        <w:t>专家们提出了很多好的修改意见</w:t>
      </w:r>
      <w:r>
        <w:rPr>
          <w:rFonts w:hint="eastAsia" w:ascii="宋体" w:hAnsi="宋体" w:eastAsia="宋体"/>
          <w:bCs/>
          <w:sz w:val="24"/>
          <w:szCs w:val="28"/>
        </w:rPr>
        <w:t>；</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二次审核会议后</w:t>
      </w:r>
      <w:r>
        <w:rPr>
          <w:rFonts w:hint="eastAsia" w:ascii="宋体" w:hAnsi="宋体" w:eastAsia="宋体"/>
          <w:bCs/>
          <w:sz w:val="24"/>
          <w:szCs w:val="28"/>
        </w:rPr>
        <w:t>，</w:t>
      </w:r>
      <w:r>
        <w:rPr>
          <w:rFonts w:ascii="宋体" w:hAnsi="宋体" w:eastAsia="宋体"/>
          <w:bCs/>
          <w:sz w:val="24"/>
          <w:szCs w:val="28"/>
        </w:rPr>
        <w:t>工作组对标准文本进行了进一步的修改完善</w:t>
      </w:r>
      <w:r>
        <w:rPr>
          <w:rFonts w:hint="eastAsia" w:ascii="宋体" w:hAnsi="宋体" w:eastAsia="宋体"/>
          <w:bCs/>
          <w:sz w:val="24"/>
          <w:szCs w:val="28"/>
        </w:rPr>
        <w:t>，</w:t>
      </w:r>
      <w:r>
        <w:rPr>
          <w:rFonts w:ascii="宋体" w:hAnsi="宋体" w:eastAsia="宋体"/>
          <w:bCs/>
          <w:sz w:val="24"/>
          <w:szCs w:val="28"/>
        </w:rPr>
        <w:t>形成了标准征求意见稿</w:t>
      </w:r>
      <w:r>
        <w:rPr>
          <w:rFonts w:hint="eastAsia" w:ascii="宋体" w:hAnsi="宋体" w:eastAsia="宋体"/>
          <w:bCs/>
          <w:sz w:val="24"/>
          <w:szCs w:val="28"/>
        </w:rPr>
        <w:t>。</w:t>
      </w:r>
    </w:p>
    <w:p>
      <w:pPr>
        <w:pStyle w:val="8"/>
        <w:numPr>
          <w:ilvl w:val="1"/>
          <w:numId w:val="1"/>
        </w:numPr>
        <w:spacing w:line="360" w:lineRule="auto"/>
        <w:ind w:left="1140" w:leftChars="200" w:hanging="720" w:hangingChars="300"/>
        <w:jc w:val="left"/>
        <w:rPr>
          <w:rFonts w:ascii="宋体" w:hAnsi="宋体" w:eastAsia="宋体"/>
          <w:bCs/>
          <w:sz w:val="24"/>
          <w:szCs w:val="32"/>
        </w:rPr>
      </w:pPr>
      <w:r>
        <w:rPr>
          <w:rFonts w:ascii="宋体" w:hAnsi="宋体" w:eastAsia="宋体"/>
          <w:bCs/>
          <w:sz w:val="24"/>
          <w:szCs w:val="32"/>
        </w:rPr>
        <w:t>标准编制的</w:t>
      </w:r>
      <w:r>
        <w:rPr>
          <w:rFonts w:hint="eastAsia" w:ascii="宋体" w:hAnsi="宋体" w:eastAsia="宋体"/>
          <w:bCs/>
          <w:sz w:val="24"/>
          <w:szCs w:val="32"/>
        </w:rPr>
        <w:t>主要成员单位和起草组成员及其所做的工作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b/>
          <w:bCs/>
          <w:sz w:val="24"/>
          <w:szCs w:val="28"/>
        </w:rPr>
      </w:pPr>
      <w:r>
        <w:rPr>
          <w:rFonts w:hint="eastAsia" w:ascii="宋体" w:hAnsi="宋体" w:eastAsia="宋体"/>
          <w:bCs/>
          <w:sz w:val="24"/>
          <w:szCs w:val="28"/>
        </w:rPr>
        <w:t>本标准由中国超级电容产业联盟组织，牵头单位为：</w:t>
      </w:r>
      <w:r>
        <w:rPr>
          <w:rFonts w:hint="eastAsia" w:ascii="宋体" w:hAnsi="宋体" w:eastAsia="宋体" w:cstheme="minorBidi"/>
          <w:bCs/>
          <w:kern w:val="2"/>
          <w:sz w:val="24"/>
          <w:szCs w:val="32"/>
          <w:lang w:val="en-US" w:eastAsia="zh-CN" w:bidi="ar-SA"/>
        </w:rPr>
        <w:t>宁波中车新能源科技有限公司，参与单位：宁波中车新能源科技有限公司、中车青岛四方车辆研究所有限公司、上海奥威科技</w:t>
      </w:r>
      <w:bookmarkStart w:id="0" w:name="_GoBack"/>
      <w:bookmarkEnd w:id="0"/>
      <w:r>
        <w:rPr>
          <w:rFonts w:hint="eastAsia" w:ascii="宋体" w:hAnsi="宋体" w:eastAsia="宋体" w:cstheme="minorBidi"/>
          <w:bCs/>
          <w:kern w:val="2"/>
          <w:sz w:val="24"/>
          <w:szCs w:val="32"/>
          <w:lang w:val="en-US" w:eastAsia="zh-CN" w:bidi="ar-SA"/>
        </w:rPr>
        <w:t>开发有限公司、福建火炬电子科技股份有限公司、浙江斯瑞特电子科技有限公司、辽宁博艾格电子科技有限公司、湖南耐普恩科技有限公司、锦州凯美能源有限公司。</w:t>
      </w:r>
      <w:r>
        <w:rPr>
          <w:rFonts w:hint="eastAsia" w:ascii="宋体" w:hAnsi="宋体" w:eastAsia="宋体"/>
          <w:bCs/>
          <w:sz w:val="24"/>
          <w:szCs w:val="28"/>
        </w:rPr>
        <w:t>中国超级电容产业联盟为项目牵头单位确定标准制定原则，组织各成员单位开展标准编制工作，汇总形成标准各阶段草案并组织国内各方面专家开展标准研讨，完成标准报批</w:t>
      </w:r>
      <w:r>
        <w:rPr>
          <w:rFonts w:hint="eastAsia" w:ascii="宋体" w:hAnsi="宋体" w:eastAsia="宋体"/>
          <w:b/>
          <w:bCs/>
          <w:sz w:val="24"/>
          <w:szCs w:val="28"/>
        </w:rPr>
        <w:t>。</w:t>
      </w:r>
    </w:p>
    <w:p>
      <w:pPr>
        <w:pStyle w:val="2"/>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480" w:firstLineChars="200"/>
        <w:textAlignment w:val="auto"/>
        <w:rPr>
          <w:rFonts w:hint="default" w:cstheme="minorBidi"/>
          <w:b w:val="0"/>
          <w:bCs/>
          <w:kern w:val="2"/>
          <w:sz w:val="24"/>
          <w:szCs w:val="28"/>
        </w:rPr>
      </w:pPr>
      <w:r>
        <w:rPr>
          <w:rFonts w:cstheme="minorBidi"/>
          <w:b w:val="0"/>
          <w:bCs/>
          <w:kern w:val="2"/>
          <w:sz w:val="24"/>
          <w:szCs w:val="28"/>
        </w:rPr>
        <w:t>宁波中车新能源科技有限公司作为牵头单位，负责标准各部分内容的编写并参加各阶段标准草案研讨，并起草了最初的标准草案，其他成员单位共同承担标准技术内容的编写。</w:t>
      </w:r>
    </w:p>
    <w:p>
      <w:pPr>
        <w:pStyle w:val="8"/>
        <w:numPr>
          <w:ilvl w:val="0"/>
          <w:numId w:val="1"/>
        </w:numPr>
        <w:ind w:left="607" w:firstLineChars="0"/>
        <w:jc w:val="left"/>
        <w:rPr>
          <w:rFonts w:ascii="黑体" w:hAnsi="黑体" w:eastAsia="黑体"/>
          <w:b/>
          <w:bCs/>
          <w:sz w:val="28"/>
          <w:szCs w:val="28"/>
        </w:rPr>
      </w:pPr>
      <w:r>
        <w:rPr>
          <w:rFonts w:hint="eastAsia" w:ascii="黑体" w:hAnsi="黑体" w:eastAsia="黑体"/>
          <w:b/>
          <w:bCs/>
          <w:sz w:val="28"/>
          <w:szCs w:val="28"/>
        </w:rPr>
        <w:t>标准编制原则和确定主要内容的论据及解决的主要问题</w:t>
      </w:r>
    </w:p>
    <w:p>
      <w:pPr>
        <w:pStyle w:val="8"/>
        <w:numPr>
          <w:ilvl w:val="1"/>
          <w:numId w:val="1"/>
        </w:numPr>
        <w:spacing w:line="360" w:lineRule="auto"/>
        <w:ind w:left="1245" w:leftChars="250" w:hanging="720" w:hangingChars="300"/>
        <w:jc w:val="left"/>
        <w:rPr>
          <w:rFonts w:ascii="宋体" w:hAnsi="宋体" w:eastAsia="宋体"/>
          <w:bCs/>
          <w:sz w:val="24"/>
          <w:szCs w:val="28"/>
        </w:rPr>
      </w:pPr>
      <w:r>
        <w:rPr>
          <w:rFonts w:hint="eastAsia" w:ascii="宋体" w:hAnsi="宋体" w:eastAsia="宋体"/>
          <w:bCs/>
          <w:sz w:val="24"/>
          <w:szCs w:val="28"/>
        </w:rPr>
        <w:t>标准编制原则</w:t>
      </w:r>
    </w:p>
    <w:p>
      <w:pPr>
        <w:pStyle w:val="8"/>
        <w:numPr>
          <w:ilvl w:val="0"/>
          <w:numId w:val="2"/>
        </w:numPr>
        <w:spacing w:line="360" w:lineRule="auto"/>
        <w:ind w:firstLineChars="0"/>
        <w:jc w:val="left"/>
        <w:rPr>
          <w:rFonts w:ascii="宋体" w:hAnsi="宋体" w:eastAsia="宋体"/>
          <w:bCs/>
          <w:sz w:val="24"/>
          <w:szCs w:val="28"/>
        </w:rPr>
      </w:pPr>
      <w:r>
        <w:rPr>
          <w:rFonts w:hint="eastAsia" w:ascii="宋体" w:hAnsi="宋体" w:eastAsia="宋体"/>
          <w:bCs/>
          <w:sz w:val="24"/>
          <w:szCs w:val="28"/>
        </w:rPr>
        <w:t>立足国内超级电容器应用和运行情况，同时参考国外先进经验和国际标准；</w:t>
      </w:r>
    </w:p>
    <w:p>
      <w:pPr>
        <w:pStyle w:val="8"/>
        <w:numPr>
          <w:ilvl w:val="0"/>
          <w:numId w:val="2"/>
        </w:numPr>
        <w:spacing w:line="360" w:lineRule="auto"/>
        <w:ind w:firstLineChars="0"/>
        <w:jc w:val="left"/>
        <w:rPr>
          <w:rFonts w:ascii="宋体" w:hAnsi="宋体" w:eastAsia="宋体"/>
          <w:bCs/>
          <w:sz w:val="24"/>
          <w:szCs w:val="28"/>
        </w:rPr>
      </w:pPr>
      <w:r>
        <w:rPr>
          <w:rFonts w:hint="eastAsia" w:ascii="宋体" w:hAnsi="宋体" w:eastAsia="宋体"/>
          <w:bCs/>
          <w:sz w:val="24"/>
          <w:szCs w:val="28"/>
        </w:rPr>
        <w:t>广泛吸纳国内产品生产制造单位、检测机构及行业专家共同参与标准的起草和讨论；</w:t>
      </w:r>
    </w:p>
    <w:p>
      <w:pPr>
        <w:pStyle w:val="8"/>
        <w:numPr>
          <w:ilvl w:val="0"/>
          <w:numId w:val="2"/>
        </w:numPr>
        <w:spacing w:line="360" w:lineRule="auto"/>
        <w:ind w:firstLineChars="0"/>
        <w:jc w:val="left"/>
        <w:rPr>
          <w:rFonts w:ascii="宋体" w:hAnsi="宋体" w:eastAsia="宋体"/>
          <w:bCs/>
          <w:sz w:val="24"/>
          <w:szCs w:val="28"/>
        </w:rPr>
      </w:pPr>
      <w:r>
        <w:rPr>
          <w:rFonts w:hint="eastAsia" w:ascii="宋体" w:hAnsi="宋体" w:eastAsia="宋体"/>
          <w:bCs/>
          <w:sz w:val="24"/>
          <w:szCs w:val="28"/>
        </w:rPr>
        <w:t>起草过程中充分考虑国内外现有标准的统一和协调。</w:t>
      </w:r>
    </w:p>
    <w:p>
      <w:pPr>
        <w:pStyle w:val="8"/>
        <w:numPr>
          <w:ilvl w:val="1"/>
          <w:numId w:val="1"/>
        </w:numPr>
        <w:spacing w:line="360" w:lineRule="auto"/>
        <w:ind w:left="1245" w:leftChars="250" w:hanging="720" w:hangingChars="300"/>
        <w:jc w:val="left"/>
        <w:rPr>
          <w:rFonts w:ascii="宋体" w:hAnsi="宋体" w:eastAsia="宋体"/>
          <w:bCs/>
          <w:sz w:val="24"/>
          <w:szCs w:val="28"/>
        </w:rPr>
      </w:pPr>
      <w:r>
        <w:rPr>
          <w:rFonts w:hint="eastAsia" w:ascii="宋体" w:hAnsi="宋体" w:eastAsia="宋体"/>
          <w:bCs/>
          <w:sz w:val="24"/>
          <w:szCs w:val="28"/>
        </w:rPr>
        <w:t>确定主要内容的论据</w:t>
      </w:r>
    </w:p>
    <w:p>
      <w:pPr>
        <w:spacing w:line="360" w:lineRule="auto"/>
        <w:ind w:firstLine="480" w:firstLineChars="200"/>
        <w:rPr>
          <w:rFonts w:ascii="宋体" w:hAnsi="宋体" w:eastAsia="宋体"/>
          <w:bCs/>
          <w:sz w:val="24"/>
        </w:rPr>
      </w:pPr>
      <w:r>
        <w:rPr>
          <w:rFonts w:hint="eastAsia" w:ascii="宋体" w:hAnsi="宋体" w:eastAsia="宋体"/>
          <w:bCs/>
          <w:sz w:val="24"/>
        </w:rPr>
        <w:t>本部分标准主要参考了下列标准中的相关技术条款，对标准中的相关部分进行了逐条对比分析，将其中行业普遍认可的内容纳入标准，同时综合考虑不同类型超级电容器及与电池之间的性能差异，对相关要求进行了调整。</w:t>
      </w:r>
    </w:p>
    <w:p>
      <w:pPr>
        <w:pStyle w:val="14"/>
        <w:spacing w:line="360" w:lineRule="auto"/>
        <w:ind w:left="567" w:firstLine="0" w:firstLineChars="0"/>
        <w:rPr>
          <w:sz w:val="24"/>
          <w:szCs w:val="24"/>
        </w:rPr>
      </w:pPr>
      <w:r>
        <w:rPr>
          <w:sz w:val="24"/>
          <w:szCs w:val="24"/>
        </w:rPr>
        <w:t xml:space="preserve">GB/T 2900.41 </w:t>
      </w:r>
      <w:r>
        <w:rPr>
          <w:rFonts w:hint="eastAsia"/>
          <w:sz w:val="24"/>
          <w:szCs w:val="24"/>
        </w:rPr>
        <w:t xml:space="preserve">电工术语 原电池和蓄电池 </w:t>
      </w:r>
    </w:p>
    <w:p>
      <w:pPr>
        <w:pStyle w:val="14"/>
        <w:spacing w:line="360" w:lineRule="auto"/>
        <w:ind w:firstLine="600" w:firstLineChars="250"/>
        <w:jc w:val="left"/>
        <w:rPr>
          <w:sz w:val="24"/>
          <w:szCs w:val="24"/>
        </w:rPr>
      </w:pPr>
      <w:r>
        <w:rPr>
          <w:rFonts w:hint="eastAsia"/>
          <w:sz w:val="24"/>
          <w:szCs w:val="24"/>
        </w:rPr>
        <w:t xml:space="preserve">IEC </w:t>
      </w:r>
      <w:r>
        <w:rPr>
          <w:sz w:val="24"/>
          <w:szCs w:val="24"/>
        </w:rPr>
        <w:t xml:space="preserve">62576 </w:t>
      </w:r>
      <w:r>
        <w:rPr>
          <w:rFonts w:hint="eastAsia"/>
          <w:sz w:val="24"/>
          <w:szCs w:val="24"/>
        </w:rPr>
        <w:t>混合动力电动汽车用双层电容器</w:t>
      </w:r>
      <w:r>
        <w:rPr>
          <w:sz w:val="24"/>
          <w:szCs w:val="24"/>
        </w:rPr>
        <w:t>-</w:t>
      </w:r>
      <w:r>
        <w:rPr>
          <w:rFonts w:hint="eastAsia"/>
          <w:sz w:val="24"/>
          <w:szCs w:val="24"/>
        </w:rPr>
        <w:t>电特性的试验方法（El</w:t>
      </w:r>
      <w:r>
        <w:rPr>
          <w:sz w:val="24"/>
          <w:szCs w:val="24"/>
        </w:rPr>
        <w:t>ectric double-layer capacitors for use in hybrid electric vehicles-Test methods for electrical characteristics</w:t>
      </w:r>
      <w:r>
        <w:rPr>
          <w:rFonts w:hint="eastAsia"/>
          <w:sz w:val="24"/>
          <w:szCs w:val="24"/>
        </w:rPr>
        <w:t>）</w:t>
      </w:r>
    </w:p>
    <w:p>
      <w:pPr>
        <w:pStyle w:val="14"/>
        <w:spacing w:line="360" w:lineRule="auto"/>
        <w:ind w:firstLine="600" w:firstLineChars="250"/>
        <w:jc w:val="left"/>
        <w:rPr>
          <w:sz w:val="24"/>
          <w:szCs w:val="24"/>
        </w:rPr>
      </w:pPr>
      <w:r>
        <w:rPr>
          <w:rFonts w:hint="eastAsia"/>
          <w:sz w:val="24"/>
          <w:szCs w:val="24"/>
        </w:rPr>
        <w:t xml:space="preserve">IEC </w:t>
      </w:r>
      <w:r>
        <w:rPr>
          <w:sz w:val="24"/>
          <w:szCs w:val="24"/>
        </w:rPr>
        <w:t>61881</w:t>
      </w:r>
      <w:r>
        <w:rPr>
          <w:rFonts w:hint="eastAsia"/>
          <w:sz w:val="24"/>
          <w:szCs w:val="24"/>
        </w:rPr>
        <w:t>-</w:t>
      </w:r>
      <w:r>
        <w:rPr>
          <w:sz w:val="24"/>
          <w:szCs w:val="24"/>
        </w:rPr>
        <w:t xml:space="preserve">3 </w:t>
      </w:r>
      <w:r>
        <w:rPr>
          <w:rFonts w:hint="eastAsia"/>
          <w:sz w:val="24"/>
          <w:szCs w:val="24"/>
        </w:rPr>
        <w:t>铁路应用-机车车辆设备-电力电子设备用电容器-第3部分：双电层电容器（Railway</w:t>
      </w:r>
      <w:r>
        <w:rPr>
          <w:sz w:val="24"/>
          <w:szCs w:val="24"/>
        </w:rPr>
        <w:t xml:space="preserve"> applications-Rolling stock equipment-Capacitors for power electronics-Part3</w:t>
      </w:r>
      <w:r>
        <w:rPr>
          <w:rFonts w:hint="eastAsia"/>
          <w:sz w:val="24"/>
          <w:szCs w:val="24"/>
        </w:rPr>
        <w:t>：Ele</w:t>
      </w:r>
      <w:r>
        <w:rPr>
          <w:sz w:val="24"/>
          <w:szCs w:val="24"/>
        </w:rPr>
        <w:t>ctric double-layer capacitors</w:t>
      </w:r>
      <w:r>
        <w:rPr>
          <w:rFonts w:hint="eastAsia"/>
          <w:sz w:val="24"/>
          <w:szCs w:val="24"/>
        </w:rPr>
        <w:t>）</w:t>
      </w:r>
    </w:p>
    <w:p>
      <w:pPr>
        <w:pStyle w:val="14"/>
        <w:spacing w:line="360" w:lineRule="auto"/>
        <w:ind w:firstLine="600" w:firstLineChars="250"/>
        <w:rPr>
          <w:sz w:val="24"/>
          <w:szCs w:val="24"/>
        </w:rPr>
      </w:pPr>
      <w:r>
        <w:rPr>
          <w:rFonts w:hint="eastAsia"/>
          <w:sz w:val="24"/>
          <w:szCs w:val="24"/>
        </w:rPr>
        <w:t>U</w:t>
      </w:r>
      <w:r>
        <w:rPr>
          <w:sz w:val="24"/>
          <w:szCs w:val="24"/>
        </w:rPr>
        <w:t>N38.3</w:t>
      </w:r>
      <w:r>
        <w:rPr>
          <w:rFonts w:hint="eastAsia"/>
          <w:sz w:val="24"/>
          <w:szCs w:val="24"/>
        </w:rPr>
        <w:t xml:space="preserve"> 联合国危险物品运输试验和标准手册第3部分38.3款</w:t>
      </w:r>
      <w:r>
        <w:rPr>
          <w:sz w:val="24"/>
          <w:szCs w:val="24"/>
        </w:rPr>
        <w:t>(Recommendations on the Transport of dangerous goods manual of tests and criteria 38.3 Lithium metal and lithium ion batteries)</w:t>
      </w:r>
    </w:p>
    <w:p>
      <w:pPr>
        <w:pStyle w:val="14"/>
        <w:spacing w:line="360" w:lineRule="auto"/>
        <w:ind w:firstLine="600" w:firstLineChars="250"/>
        <w:rPr>
          <w:sz w:val="24"/>
          <w:szCs w:val="24"/>
        </w:rPr>
      </w:pPr>
      <w:r>
        <w:rPr>
          <w:rFonts w:hint="eastAsia"/>
          <w:sz w:val="24"/>
          <w:szCs w:val="24"/>
        </w:rPr>
        <w:t>UL1642 锂电池安全标准（UL Standard</w:t>
      </w:r>
      <w:r>
        <w:rPr>
          <w:sz w:val="24"/>
          <w:szCs w:val="24"/>
        </w:rPr>
        <w:t xml:space="preserve"> for Safety for Lithium Batteries</w:t>
      </w:r>
      <w:r>
        <w:rPr>
          <w:rFonts w:hint="eastAsia"/>
          <w:sz w:val="24"/>
          <w:szCs w:val="24"/>
        </w:rPr>
        <w:t>）</w:t>
      </w:r>
    </w:p>
    <w:p>
      <w:pPr>
        <w:pStyle w:val="14"/>
        <w:spacing w:line="360" w:lineRule="auto"/>
        <w:ind w:firstLine="600" w:firstLineChars="250"/>
        <w:jc w:val="left"/>
        <w:rPr>
          <w:sz w:val="24"/>
          <w:szCs w:val="24"/>
        </w:rPr>
      </w:pPr>
      <w:r>
        <w:rPr>
          <w:rFonts w:hint="eastAsia"/>
          <w:sz w:val="24"/>
          <w:szCs w:val="24"/>
        </w:rPr>
        <w:t>U</w:t>
      </w:r>
      <w:r>
        <w:rPr>
          <w:sz w:val="24"/>
          <w:szCs w:val="24"/>
        </w:rPr>
        <w:t>L94</w:t>
      </w:r>
      <w:r>
        <w:rPr>
          <w:rFonts w:hint="eastAsia"/>
          <w:sz w:val="24"/>
          <w:szCs w:val="24"/>
        </w:rPr>
        <w:t xml:space="preserve"> 设备和器具部件材料的可燃性能试验</w:t>
      </w:r>
      <w:r>
        <w:rPr>
          <w:sz w:val="24"/>
          <w:szCs w:val="24"/>
        </w:rPr>
        <w:t>(Test for Flammability of Plastic Materials for Parts in Devices and Appliances)</w:t>
      </w:r>
    </w:p>
    <w:p>
      <w:pPr>
        <w:pStyle w:val="8"/>
        <w:numPr>
          <w:ilvl w:val="1"/>
          <w:numId w:val="1"/>
        </w:numPr>
        <w:spacing w:line="360" w:lineRule="auto"/>
        <w:ind w:left="1245" w:leftChars="250" w:hanging="720" w:hangingChars="300"/>
        <w:jc w:val="left"/>
        <w:rPr>
          <w:rFonts w:ascii="宋体" w:hAnsi="宋体" w:eastAsia="宋体"/>
          <w:bCs/>
          <w:sz w:val="24"/>
          <w:szCs w:val="28"/>
        </w:rPr>
      </w:pPr>
      <w:r>
        <w:rPr>
          <w:rFonts w:hint="eastAsia" w:ascii="宋体" w:hAnsi="宋体" w:eastAsia="宋体"/>
          <w:bCs/>
          <w:sz w:val="24"/>
          <w:szCs w:val="28"/>
        </w:rPr>
        <w:t>解决的主要问题</w:t>
      </w:r>
    </w:p>
    <w:p>
      <w:pPr>
        <w:pStyle w:val="14"/>
        <w:spacing w:line="360" w:lineRule="auto"/>
        <w:ind w:firstLine="480"/>
        <w:rPr>
          <w:rFonts w:hAnsi="宋体"/>
          <w:sz w:val="24"/>
          <w:szCs w:val="24"/>
        </w:rPr>
      </w:pPr>
      <w:r>
        <w:rPr>
          <w:rFonts w:hint="eastAsia" w:hAnsi="宋体" w:cs="Times New Roman"/>
          <w:bCs/>
          <w:sz w:val="24"/>
          <w:szCs w:val="24"/>
        </w:rPr>
        <w:t>本标准是国内外首部专门针对超级电容器安全而制定的基础标准，</w:t>
      </w:r>
      <w:r>
        <w:rPr>
          <w:rFonts w:hint="eastAsia" w:hAnsi="宋体"/>
          <w:sz w:val="24"/>
          <w:szCs w:val="24"/>
        </w:rPr>
        <w:t>本部分</w:t>
      </w:r>
      <w:r>
        <w:rPr>
          <w:rFonts w:hAnsi="宋体"/>
          <w:sz w:val="24"/>
          <w:szCs w:val="24"/>
        </w:rPr>
        <w:t>规定了</w:t>
      </w:r>
      <w:r>
        <w:rPr>
          <w:rFonts w:hint="eastAsia" w:hAnsi="宋体"/>
          <w:sz w:val="24"/>
          <w:szCs w:val="24"/>
        </w:rPr>
        <w:t>超级电容器单体、模组安全检验的术语和定义、要求、相关技术规范中应给出的安全信息、使用说明，以保证电容器在预期使用、可合理预见的误使用及运输、存储过程中的安全性。</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主要试验（或验证）情况分析</w:t>
      </w:r>
    </w:p>
    <w:p>
      <w:pPr>
        <w:pStyle w:val="8"/>
        <w:spacing w:line="360" w:lineRule="auto"/>
        <w:ind w:left="567" w:firstLine="0" w:firstLineChars="0"/>
        <w:jc w:val="left"/>
        <w:rPr>
          <w:rFonts w:ascii="宋体" w:hAnsi="宋体" w:eastAsia="宋体"/>
          <w:bCs/>
          <w:sz w:val="24"/>
          <w:szCs w:val="28"/>
        </w:rPr>
      </w:pPr>
      <w:r>
        <w:rPr>
          <w:rFonts w:hint="eastAsia" w:ascii="宋体" w:hAnsi="宋体" w:eastAsia="宋体"/>
          <w:bCs/>
          <w:sz w:val="24"/>
          <w:szCs w:val="28"/>
        </w:rPr>
        <w:t>本部分标准不包含测试项目，因此无需试验验证。</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知识产权情况说明</w:t>
      </w:r>
    </w:p>
    <w:p>
      <w:pPr>
        <w:pStyle w:val="8"/>
        <w:spacing w:line="360" w:lineRule="auto"/>
        <w:ind w:left="454" w:firstLine="0" w:firstLineChars="0"/>
        <w:jc w:val="left"/>
        <w:rPr>
          <w:rFonts w:ascii="宋体" w:hAnsi="宋体" w:eastAsia="宋体"/>
          <w:bCs/>
          <w:sz w:val="28"/>
          <w:szCs w:val="28"/>
        </w:rPr>
      </w:pPr>
      <w:r>
        <w:rPr>
          <w:rFonts w:hint="eastAsia" w:ascii="宋体" w:hAnsi="宋体" w:eastAsia="宋体"/>
          <w:b/>
          <w:bCs/>
          <w:sz w:val="28"/>
          <w:szCs w:val="28"/>
        </w:rPr>
        <w:t xml:space="preserve"> </w:t>
      </w:r>
      <w:r>
        <w:rPr>
          <w:rFonts w:hint="eastAsia" w:ascii="宋体" w:hAnsi="宋体" w:eastAsia="宋体"/>
          <w:bCs/>
          <w:sz w:val="24"/>
          <w:szCs w:val="28"/>
        </w:rPr>
        <w:t>本部分标准的主要技术内容均不涉及专利。</w:t>
      </w:r>
    </w:p>
    <w:p>
      <w:pPr>
        <w:pStyle w:val="8"/>
        <w:numPr>
          <w:ilvl w:val="0"/>
          <w:numId w:val="1"/>
        </w:numPr>
        <w:spacing w:line="360" w:lineRule="auto"/>
        <w:ind w:left="607" w:firstLineChars="0"/>
        <w:jc w:val="left"/>
        <w:rPr>
          <w:rFonts w:ascii="宋体" w:hAnsi="宋体" w:eastAsia="宋体"/>
          <w:b/>
          <w:bCs/>
          <w:sz w:val="28"/>
          <w:szCs w:val="28"/>
        </w:rPr>
      </w:pPr>
      <w:r>
        <w:rPr>
          <w:rFonts w:hint="eastAsia" w:ascii="黑体" w:hAnsi="黑体" w:eastAsia="黑体"/>
          <w:b/>
          <w:bCs/>
          <w:sz w:val="28"/>
          <w:szCs w:val="28"/>
        </w:rPr>
        <w:t>产业化情况，推广应用论证和预期达到的经济效果</w:t>
      </w:r>
    </w:p>
    <w:p>
      <w:pPr>
        <w:spacing w:line="360" w:lineRule="auto"/>
        <w:ind w:firstLine="480" w:firstLineChars="200"/>
        <w:jc w:val="left"/>
        <w:rPr>
          <w:rFonts w:ascii="宋体" w:hAnsi="宋体" w:eastAsia="宋体"/>
          <w:color w:val="363636"/>
          <w:sz w:val="32"/>
          <w:szCs w:val="21"/>
        </w:rPr>
      </w:pPr>
      <w:r>
        <w:rPr>
          <w:rFonts w:hint="eastAsia" w:ascii="宋体" w:hAnsi="宋体" w:eastAsia="宋体"/>
          <w:sz w:val="24"/>
          <w:szCs w:val="21"/>
        </w:rPr>
        <w:t>随着超级电容器应用领域的不断扩大，应用环境日趋复杂，需要考虑的安全因素日趋增多，急需制定超级电容器行业统一的安全技术规范，规范超级电容器领域的材料选择、设计、工艺、生产和应用。</w:t>
      </w:r>
    </w:p>
    <w:p>
      <w:pPr>
        <w:spacing w:line="360" w:lineRule="auto"/>
        <w:ind w:firstLine="480" w:firstLineChars="200"/>
        <w:jc w:val="left"/>
        <w:rPr>
          <w:rFonts w:ascii="宋体" w:hAnsi="宋体" w:eastAsia="宋体"/>
          <w:bCs/>
          <w:sz w:val="32"/>
          <w:szCs w:val="28"/>
        </w:rPr>
      </w:pPr>
      <w:r>
        <w:rPr>
          <w:rFonts w:ascii="宋体" w:hAnsi="宋体" w:eastAsia="宋体"/>
          <w:color w:val="363636"/>
          <w:sz w:val="24"/>
          <w:szCs w:val="21"/>
        </w:rPr>
        <w:t>本标准作为</w:t>
      </w:r>
      <w:r>
        <w:rPr>
          <w:rFonts w:hint="eastAsia" w:ascii="宋体" w:hAnsi="宋体" w:eastAsia="宋体"/>
          <w:color w:val="363636"/>
          <w:sz w:val="24"/>
          <w:szCs w:val="21"/>
        </w:rPr>
        <w:t>超级</w:t>
      </w:r>
      <w:r>
        <w:rPr>
          <w:rFonts w:ascii="宋体" w:hAnsi="宋体" w:eastAsia="宋体"/>
          <w:color w:val="363636"/>
          <w:sz w:val="24"/>
          <w:szCs w:val="21"/>
        </w:rPr>
        <w:t>电容器行业的基础标准，发布后将引导着行业不断发展，对完善</w:t>
      </w:r>
      <w:r>
        <w:rPr>
          <w:rFonts w:hint="eastAsia" w:ascii="宋体" w:hAnsi="宋体" w:eastAsia="宋体"/>
          <w:color w:val="363636"/>
          <w:sz w:val="24"/>
          <w:szCs w:val="21"/>
        </w:rPr>
        <w:t>超级</w:t>
      </w:r>
      <w:r>
        <w:rPr>
          <w:rFonts w:ascii="宋体" w:hAnsi="宋体" w:eastAsia="宋体"/>
          <w:color w:val="363636"/>
          <w:sz w:val="24"/>
          <w:szCs w:val="21"/>
        </w:rPr>
        <w:t>电容器标准体系奠定了坚实的基础作用，是对历年相继制定和发布实施的</w:t>
      </w:r>
      <w:r>
        <w:rPr>
          <w:rFonts w:hint="eastAsia" w:ascii="宋体" w:hAnsi="宋体" w:eastAsia="宋体"/>
          <w:color w:val="363636"/>
          <w:sz w:val="24"/>
          <w:szCs w:val="21"/>
        </w:rPr>
        <w:t>超级</w:t>
      </w:r>
      <w:r>
        <w:rPr>
          <w:rFonts w:ascii="宋体" w:hAnsi="宋体" w:eastAsia="宋体"/>
          <w:color w:val="363636"/>
          <w:sz w:val="24"/>
          <w:szCs w:val="21"/>
        </w:rPr>
        <w:t>电容器相关国家标准和行业标准</w:t>
      </w:r>
      <w:r>
        <w:rPr>
          <w:rFonts w:hint="eastAsia" w:ascii="宋体" w:hAnsi="宋体" w:eastAsia="宋体"/>
          <w:color w:val="363636"/>
          <w:sz w:val="24"/>
          <w:szCs w:val="21"/>
        </w:rPr>
        <w:t>中</w:t>
      </w:r>
      <w:r>
        <w:rPr>
          <w:rFonts w:ascii="宋体" w:hAnsi="宋体" w:eastAsia="宋体"/>
          <w:color w:val="363636"/>
          <w:sz w:val="24"/>
          <w:szCs w:val="21"/>
        </w:rPr>
        <w:t>安全规范</w:t>
      </w:r>
      <w:r>
        <w:rPr>
          <w:rFonts w:hint="eastAsia" w:ascii="宋体" w:hAnsi="宋体" w:eastAsia="宋体"/>
          <w:color w:val="363636"/>
          <w:sz w:val="24"/>
          <w:szCs w:val="21"/>
        </w:rPr>
        <w:t>的</w:t>
      </w:r>
      <w:r>
        <w:rPr>
          <w:rFonts w:ascii="宋体" w:hAnsi="宋体" w:eastAsia="宋体"/>
          <w:color w:val="363636"/>
          <w:sz w:val="24"/>
          <w:szCs w:val="21"/>
        </w:rPr>
        <w:t>补充和完善，其基本理念和基本要求与</w:t>
      </w:r>
      <w:r>
        <w:rPr>
          <w:rFonts w:hint="eastAsia" w:ascii="宋体" w:hAnsi="宋体" w:eastAsia="宋体"/>
          <w:color w:val="363636"/>
          <w:sz w:val="24"/>
          <w:szCs w:val="21"/>
        </w:rPr>
        <w:t>国内外</w:t>
      </w:r>
      <w:r>
        <w:rPr>
          <w:rFonts w:ascii="宋体" w:hAnsi="宋体" w:eastAsia="宋体"/>
          <w:color w:val="363636"/>
          <w:sz w:val="24"/>
          <w:szCs w:val="21"/>
        </w:rPr>
        <w:t>标准达到总体上的协调一致，对整个行业的安全和健康发展起到了积极促进的作用，做出了巨大的贡献。</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采用国际标准和国外先进标准情况</w:t>
      </w:r>
    </w:p>
    <w:p>
      <w:pPr>
        <w:spacing w:line="360" w:lineRule="auto"/>
        <w:ind w:firstLine="480" w:firstLineChars="200"/>
        <w:jc w:val="left"/>
        <w:rPr>
          <w:rFonts w:ascii="宋体" w:hAnsi="宋体" w:eastAsia="宋体"/>
          <w:bCs/>
          <w:sz w:val="24"/>
          <w:szCs w:val="32"/>
        </w:rPr>
      </w:pPr>
      <w:r>
        <w:rPr>
          <w:rFonts w:hint="eastAsia" w:ascii="宋体" w:hAnsi="宋体" w:eastAsia="宋体"/>
          <w:bCs/>
          <w:sz w:val="24"/>
          <w:szCs w:val="32"/>
        </w:rPr>
        <w:t>在制定本部分标准时，主要参考了联合国对危险品运输的相关规定、美国对锂电池的安全规定及电子器件防火材料的相关要求。</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与现行相关法律、法规、规章及相关标准的协调性</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本部分标准符合我国目前法律</w:t>
      </w:r>
      <w:r>
        <w:rPr>
          <w:rFonts w:hint="eastAsia" w:ascii="宋体" w:hAnsi="宋体" w:eastAsia="宋体"/>
          <w:bCs/>
          <w:sz w:val="24"/>
          <w:szCs w:val="28"/>
        </w:rPr>
        <w:t>、</w:t>
      </w:r>
      <w:r>
        <w:rPr>
          <w:rFonts w:ascii="宋体" w:hAnsi="宋体" w:eastAsia="宋体"/>
          <w:bCs/>
          <w:sz w:val="24"/>
          <w:szCs w:val="28"/>
        </w:rPr>
        <w:t>法规的规定</w:t>
      </w:r>
      <w:r>
        <w:rPr>
          <w:rFonts w:hint="eastAsia" w:ascii="宋体" w:hAnsi="宋体" w:eastAsia="宋体"/>
          <w:bCs/>
          <w:sz w:val="24"/>
          <w:szCs w:val="28"/>
        </w:rPr>
        <w:t>。</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重大分歧意见的处理经过和依据</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无</w:t>
      </w:r>
      <w:r>
        <w:rPr>
          <w:rFonts w:hint="eastAsia" w:ascii="宋体" w:hAnsi="宋体" w:eastAsia="宋体"/>
          <w:bCs/>
          <w:sz w:val="24"/>
          <w:szCs w:val="28"/>
        </w:rPr>
        <w:t>。</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标准性质的建议说明</w:t>
      </w:r>
    </w:p>
    <w:p>
      <w:pPr>
        <w:spacing w:line="360" w:lineRule="auto"/>
        <w:ind w:firstLine="480" w:firstLineChars="200"/>
        <w:jc w:val="left"/>
        <w:rPr>
          <w:rFonts w:ascii="宋体" w:hAnsi="宋体" w:eastAsia="宋体"/>
          <w:bCs/>
          <w:sz w:val="24"/>
          <w:szCs w:val="28"/>
        </w:rPr>
      </w:pPr>
      <w:r>
        <w:rPr>
          <w:rFonts w:hint="eastAsia" w:ascii="宋体" w:hAnsi="宋体" w:eastAsia="宋体"/>
          <w:bCs/>
          <w:sz w:val="24"/>
          <w:szCs w:val="28"/>
        </w:rPr>
        <w:t>作为超级电容器重要的基础标准之一，本部分标准可作为推荐标准指导对超级电容器的安全评价，在条件成熟的情况下，建议尽快升级为推荐性国家标准。</w:t>
      </w:r>
    </w:p>
    <w:p>
      <w:pPr>
        <w:pStyle w:val="8"/>
        <w:numPr>
          <w:ilvl w:val="0"/>
          <w:numId w:val="1"/>
        </w:numPr>
        <w:ind w:left="607" w:firstLineChars="0"/>
        <w:jc w:val="left"/>
        <w:rPr>
          <w:rFonts w:ascii="黑体" w:hAnsi="黑体" w:eastAsia="黑体"/>
          <w:b/>
          <w:bCs/>
          <w:sz w:val="28"/>
          <w:szCs w:val="28"/>
        </w:rPr>
      </w:pPr>
      <w:r>
        <w:rPr>
          <w:rFonts w:hint="eastAsia" w:ascii="黑体" w:hAnsi="黑体" w:eastAsia="黑体"/>
          <w:b/>
          <w:bCs/>
          <w:sz w:val="28"/>
          <w:szCs w:val="28"/>
        </w:rPr>
        <w:t>贯彻标准的要求和措施建议</w:t>
      </w:r>
    </w:p>
    <w:p>
      <w:pPr>
        <w:spacing w:line="360" w:lineRule="auto"/>
        <w:ind w:firstLine="480" w:firstLineChars="200"/>
        <w:jc w:val="left"/>
        <w:rPr>
          <w:rFonts w:ascii="宋体" w:hAnsi="宋体" w:eastAsia="宋体"/>
          <w:bCs/>
          <w:sz w:val="24"/>
          <w:szCs w:val="28"/>
        </w:rPr>
      </w:pPr>
      <w:r>
        <w:rPr>
          <w:rFonts w:hint="eastAsia" w:ascii="宋体" w:hAnsi="宋体" w:eastAsia="宋体"/>
          <w:bCs/>
          <w:sz w:val="24"/>
          <w:szCs w:val="28"/>
        </w:rPr>
        <w:t>本部分标准完善了超级电容器在安全评价方面的要求，且与国家相关标准保持协调一致，建议尽快发布本标准，并于发布后立即实施。</w:t>
      </w:r>
    </w:p>
    <w:p>
      <w:pPr>
        <w:pStyle w:val="8"/>
        <w:numPr>
          <w:ilvl w:val="0"/>
          <w:numId w:val="1"/>
        </w:numPr>
        <w:spacing w:line="360" w:lineRule="auto"/>
        <w:ind w:left="607" w:firstLineChars="0"/>
        <w:jc w:val="left"/>
        <w:rPr>
          <w:rFonts w:ascii="黑体" w:hAnsi="黑体" w:eastAsia="黑体"/>
          <w:b/>
          <w:bCs/>
          <w:sz w:val="28"/>
          <w:szCs w:val="28"/>
        </w:rPr>
      </w:pPr>
      <w:r>
        <w:rPr>
          <w:rFonts w:ascii="黑体" w:hAnsi="黑体" w:eastAsia="黑体"/>
          <w:b/>
          <w:bCs/>
          <w:sz w:val="28"/>
          <w:szCs w:val="28"/>
        </w:rPr>
        <w:t>替代或</w:t>
      </w:r>
      <w:r>
        <w:rPr>
          <w:rFonts w:hint="eastAsia" w:ascii="黑体" w:hAnsi="黑体" w:eastAsia="黑体"/>
          <w:b/>
          <w:bCs/>
          <w:sz w:val="28"/>
          <w:szCs w:val="28"/>
        </w:rPr>
        <w:t>废止现行相关标准的建议</w:t>
      </w:r>
    </w:p>
    <w:p>
      <w:pPr>
        <w:pStyle w:val="8"/>
        <w:spacing w:line="360" w:lineRule="auto"/>
        <w:ind w:left="567" w:firstLine="0" w:firstLineChars="0"/>
        <w:jc w:val="left"/>
        <w:rPr>
          <w:rFonts w:ascii="宋体" w:hAnsi="宋体" w:eastAsia="宋体"/>
          <w:bCs/>
          <w:sz w:val="24"/>
          <w:szCs w:val="28"/>
        </w:rPr>
      </w:pPr>
      <w:r>
        <w:rPr>
          <w:rFonts w:ascii="宋体" w:hAnsi="宋体" w:eastAsia="宋体"/>
          <w:bCs/>
          <w:sz w:val="24"/>
          <w:szCs w:val="28"/>
        </w:rPr>
        <w:t>无</w:t>
      </w:r>
      <w:r>
        <w:rPr>
          <w:rFonts w:hint="eastAsia" w:ascii="宋体" w:hAnsi="宋体" w:eastAsia="宋体"/>
          <w:bCs/>
          <w:sz w:val="24"/>
          <w:szCs w:val="28"/>
        </w:rPr>
        <w:t>。</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其它应予说明的事项</w:t>
      </w:r>
    </w:p>
    <w:p>
      <w:pPr>
        <w:spacing w:line="360" w:lineRule="auto"/>
        <w:ind w:left="567"/>
        <w:rPr>
          <w:rFonts w:ascii="宋体" w:hAnsi="宋体" w:eastAsia="宋体"/>
          <w:bCs/>
          <w:sz w:val="24"/>
          <w:szCs w:val="32"/>
        </w:rPr>
      </w:pPr>
      <w:r>
        <w:rPr>
          <w:rFonts w:hint="eastAsia" w:ascii="宋体" w:hAnsi="宋体" w:eastAsia="宋体"/>
          <w:bCs/>
          <w:sz w:val="24"/>
          <w:szCs w:val="32"/>
        </w:rPr>
        <w:t>无。</w:t>
      </w:r>
    </w:p>
    <w:p>
      <w:pPr>
        <w:ind w:left="720"/>
        <w:rPr>
          <w:rFonts w:ascii="宋体" w:hAnsi="宋体" w:eastAsia="宋体"/>
          <w:bCs/>
          <w:sz w:val="28"/>
          <w:szCs w:val="32"/>
        </w:rPr>
      </w:pPr>
    </w:p>
    <w:p>
      <w:pPr>
        <w:jc w:val="right"/>
        <w:rPr>
          <w:rFonts w:ascii="仿宋" w:hAnsi="仿宋" w:eastAsia="仿宋"/>
          <w:sz w:val="24"/>
          <w:szCs w:val="28"/>
        </w:rPr>
      </w:pPr>
      <w:r>
        <w:rPr>
          <w:rFonts w:hint="eastAsia" w:ascii="仿宋" w:hAnsi="仿宋" w:eastAsia="仿宋"/>
          <w:sz w:val="24"/>
          <w:szCs w:val="28"/>
        </w:rPr>
        <w:t>《超级电容器安全技术规范》编制工作组</w:t>
      </w:r>
    </w:p>
    <w:p>
      <w:pPr>
        <w:jc w:val="right"/>
        <w:rPr>
          <w:rFonts w:ascii="仿宋" w:hAnsi="仿宋" w:eastAsia="仿宋"/>
          <w:sz w:val="24"/>
          <w:szCs w:val="28"/>
        </w:rPr>
      </w:pPr>
      <w:r>
        <w:rPr>
          <w:rFonts w:hint="eastAsia" w:ascii="仿宋" w:hAnsi="仿宋" w:eastAsia="仿宋"/>
          <w:sz w:val="24"/>
          <w:szCs w:val="28"/>
        </w:rPr>
        <w:t>2017-11-</w:t>
      </w:r>
      <w:r>
        <w:rPr>
          <w:rFonts w:ascii="仿宋" w:hAnsi="仿宋" w:eastAsia="仿宋"/>
          <w:sz w:val="24"/>
          <w:szCs w:val="28"/>
        </w:rPr>
        <w:t>20</w:t>
      </w:r>
    </w:p>
    <w:p>
      <w:pPr>
        <w:ind w:left="720"/>
        <w:rPr>
          <w:rFonts w:ascii="宋体" w:hAnsi="宋体" w:eastAsia="宋体"/>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MS Mincho">
    <w:altName w:val="MS Gothic"/>
    <w:panose1 w:val="02020609040205080304"/>
    <w:charset w:val="80"/>
    <w:family w:val="roman"/>
    <w:pitch w:val="default"/>
    <w:sig w:usb0="00000000" w:usb1="00000000" w:usb2="00000010" w:usb3="00000000" w:csb0="00020000"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auto"/>
    <w:pitch w:val="default"/>
    <w:sig w:usb0="E0002EFF" w:usb1="C0007843" w:usb2="00000009" w:usb3="00000000" w:csb0="400001FF" w:csb1="FFFF0000"/>
  </w:font>
  <w:font w:name="MS Gothic">
    <w:panose1 w:val="020B0609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87262"/>
    <w:multiLevelType w:val="multilevel"/>
    <w:tmpl w:val="54F87262"/>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566A797E"/>
    <w:multiLevelType w:val="multilevel"/>
    <w:tmpl w:val="566A797E"/>
    <w:lvl w:ilvl="0" w:tentative="0">
      <w:start w:val="1"/>
      <w:numFmt w:val="chineseCountingThousand"/>
      <w:lvlText w:val="%1、"/>
      <w:lvlJc w:val="left"/>
      <w:pPr>
        <w:ind w:left="567" w:hanging="567"/>
      </w:pPr>
      <w:rPr>
        <w:rFonts w:hint="default" w:ascii="黑体" w:hAnsi="黑体" w:eastAsia="黑体"/>
        <w:b/>
        <w:lang w:val="en-US"/>
      </w:rPr>
    </w:lvl>
    <w:lvl w:ilvl="1" w:tentative="0">
      <w:start w:val="1"/>
      <w:numFmt w:val="decimal"/>
      <w:suff w:val="space"/>
      <w:lvlText w:val="%2、"/>
      <w:lvlJc w:val="left"/>
      <w:pPr>
        <w:ind w:left="992" w:firstLine="0"/>
      </w:pPr>
      <w:rPr>
        <w:rFonts w:hint="default"/>
        <w:b w:val="0"/>
        <w:sz w:val="24"/>
        <w:szCs w:val="28"/>
      </w:rPr>
    </w:lvl>
    <w:lvl w:ilvl="2" w:tentative="0">
      <w:start w:val="1"/>
      <w:numFmt w:val="decimal"/>
      <w:lvlText w:val="%1.%2.%3"/>
      <w:lvlJc w:val="left"/>
      <w:pPr>
        <w:ind w:left="1418" w:hanging="567"/>
      </w:pPr>
      <w:rPr>
        <w:rFonts w:hint="eastAsia" w:ascii="宋体" w:hAnsi="宋体" w:eastAsia="宋体"/>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E04B37"/>
    <w:rsid w:val="0002299B"/>
    <w:rsid w:val="001178B6"/>
    <w:rsid w:val="001634A5"/>
    <w:rsid w:val="001C5957"/>
    <w:rsid w:val="00275513"/>
    <w:rsid w:val="002F565E"/>
    <w:rsid w:val="00364434"/>
    <w:rsid w:val="003B1ED0"/>
    <w:rsid w:val="0049309F"/>
    <w:rsid w:val="004C1AE6"/>
    <w:rsid w:val="007A3D8A"/>
    <w:rsid w:val="00867E33"/>
    <w:rsid w:val="00935AB7"/>
    <w:rsid w:val="009459E6"/>
    <w:rsid w:val="00987B71"/>
    <w:rsid w:val="00A91EFA"/>
    <w:rsid w:val="00AA257C"/>
    <w:rsid w:val="00B041F8"/>
    <w:rsid w:val="00B35BFE"/>
    <w:rsid w:val="00B554F4"/>
    <w:rsid w:val="00B65368"/>
    <w:rsid w:val="00B70314"/>
    <w:rsid w:val="00C42F51"/>
    <w:rsid w:val="00C50E00"/>
    <w:rsid w:val="00C550B8"/>
    <w:rsid w:val="00C81CA4"/>
    <w:rsid w:val="00C9334A"/>
    <w:rsid w:val="00CA7220"/>
    <w:rsid w:val="00D74095"/>
    <w:rsid w:val="00DE6289"/>
    <w:rsid w:val="00ED59E8"/>
    <w:rsid w:val="00F9315F"/>
    <w:rsid w:val="00FD631B"/>
    <w:rsid w:val="00FF2609"/>
    <w:rsid w:val="0D730C8E"/>
    <w:rsid w:val="0FE04B37"/>
    <w:rsid w:val="2AB31373"/>
    <w:rsid w:val="3EAD57D3"/>
    <w:rsid w:val="429E5B7D"/>
    <w:rsid w:val="4DF056A4"/>
    <w:rsid w:val="71B87755"/>
    <w:rsid w:val="7C821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link w:val="12"/>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8">
    <w:name w:val="List Paragraph"/>
    <w:basedOn w:val="1"/>
    <w:uiPriority w:val="99"/>
    <w:pPr>
      <w:ind w:firstLine="420" w:firstLineChars="200"/>
    </w:pPr>
  </w:style>
  <w:style w:type="character" w:customStyle="1" w:styleId="9">
    <w:name w:val="页眉 Char"/>
    <w:basedOn w:val="6"/>
    <w:link w:val="5"/>
    <w:uiPriority w:val="0"/>
    <w:rPr>
      <w:kern w:val="2"/>
      <w:sz w:val="18"/>
      <w:szCs w:val="18"/>
    </w:rPr>
  </w:style>
  <w:style w:type="character" w:customStyle="1" w:styleId="10">
    <w:name w:val="页脚 Char"/>
    <w:basedOn w:val="6"/>
    <w:link w:val="4"/>
    <w:uiPriority w:val="0"/>
    <w:rPr>
      <w:kern w:val="2"/>
      <w:sz w:val="18"/>
      <w:szCs w:val="18"/>
    </w:rPr>
  </w:style>
  <w:style w:type="character" w:customStyle="1" w:styleId="11">
    <w:name w:val="标题 1 Char"/>
    <w:basedOn w:val="6"/>
    <w:link w:val="2"/>
    <w:uiPriority w:val="0"/>
    <w:rPr>
      <w:rFonts w:ascii="宋体" w:hAnsi="宋体" w:eastAsia="宋体" w:cs="Times New Roman"/>
      <w:b/>
      <w:kern w:val="44"/>
      <w:sz w:val="48"/>
      <w:szCs w:val="48"/>
    </w:rPr>
  </w:style>
  <w:style w:type="character" w:customStyle="1" w:styleId="12">
    <w:name w:val="标题 2 Char"/>
    <w:basedOn w:val="6"/>
    <w:link w:val="3"/>
    <w:uiPriority w:val="0"/>
    <w:rPr>
      <w:rFonts w:asciiTheme="majorHAnsi" w:hAnsiTheme="majorHAnsi" w:eastAsiaTheme="majorEastAsia" w:cstheme="majorBidi"/>
      <w:b/>
      <w:bCs/>
      <w:kern w:val="2"/>
      <w:sz w:val="32"/>
      <w:szCs w:val="32"/>
    </w:rPr>
  </w:style>
  <w:style w:type="character" w:customStyle="1" w:styleId="13">
    <w:name w:val="段 Char"/>
    <w:link w:val="14"/>
    <w:locked/>
    <w:uiPriority w:val="0"/>
    <w:rPr>
      <w:rFonts w:ascii="宋体" w:eastAsia="宋体"/>
      <w:kern w:val="2"/>
      <w:sz w:val="21"/>
      <w:szCs w:val="22"/>
    </w:rPr>
  </w:style>
  <w:style w:type="paragraph" w:customStyle="1" w:styleId="14">
    <w:name w:val="段"/>
    <w:link w:val="13"/>
    <w:uiPriority w:val="0"/>
    <w:pPr>
      <w:tabs>
        <w:tab w:val="center" w:pos="4201"/>
        <w:tab w:val="right" w:leader="dot" w:pos="9298"/>
      </w:tabs>
      <w:autoSpaceDE w:val="0"/>
      <w:autoSpaceDN w:val="0"/>
      <w:ind w:firstLine="420" w:firstLineChars="200"/>
      <w:jc w:val="both"/>
    </w:pPr>
    <w:rPr>
      <w:rFonts w:ascii="宋体" w:eastAsia="宋体" w:hAnsiTheme="minorHAnsi"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AE60AD-C95B-455F-9EC6-E2222256C960}">
  <ds:schemaRefs/>
</ds:datastoreItem>
</file>

<file path=docProps/app.xml><?xml version="1.0" encoding="utf-8"?>
<Properties xmlns="http://schemas.openxmlformats.org/officeDocument/2006/extended-properties" xmlns:vt="http://schemas.openxmlformats.org/officeDocument/2006/docPropsVTypes">
  <Template>Normal</Template>
  <Pages>4</Pages>
  <Words>403</Words>
  <Characters>2302</Characters>
  <Lines>19</Lines>
  <Paragraphs>5</Paragraphs>
  <TotalTime>0</TotalTime>
  <ScaleCrop>false</ScaleCrop>
  <LinksUpToDate>false</LinksUpToDate>
  <CharactersWithSpaces>2700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2016-10-10T14:05:00Z</dcterms:created>
  <dc:creator>lishuai</dc:creator>
  <cp:lastModifiedBy>鑫有灵犀</cp:lastModifiedBy>
  <dcterms:modified xsi:type="dcterms:W3CDTF">2017-11-22T01:35:16Z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