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 w:leftChars="0" w:firstLine="0" w:firstLineChars="0"/>
        <w:jc w:val="left"/>
        <w:rPr>
          <w:rFonts w:hint="eastAsia" w:ascii="仿宋" w:hAnsi="仿宋" w:eastAsia="仿宋" w:cs="仿宋"/>
          <w:b w:val="0"/>
          <w:bCs w:val="0"/>
          <w:color w:val="000000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Cs w:val="32"/>
          <w:shd w:val="clear" w:color="auto" w:fill="FFFFFF"/>
          <w:lang w:val="en-US" w:eastAsia="zh-CN"/>
        </w:rPr>
        <w:t>附件2：</w:t>
      </w:r>
    </w:p>
    <w:p>
      <w:pPr>
        <w:widowControl w:val="0"/>
        <w:adjustRightInd/>
        <w:snapToGrid/>
        <w:spacing w:line="240" w:lineRule="auto"/>
        <w:ind w:firstLine="0" w:firstLineChars="0"/>
        <w:jc w:val="center"/>
        <w:rPr>
          <w:rFonts w:hint="eastAsia" w:ascii="黑体" w:hAnsi="Times New Roman" w:eastAsia="黑体" w:cs="Times New Roman"/>
          <w:kern w:val="2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Times New Roman" w:eastAsia="黑体" w:cs="Times New Roman"/>
          <w:kern w:val="2"/>
          <w:sz w:val="32"/>
          <w:szCs w:val="32"/>
          <w:lang w:val="en-US" w:eastAsia="zh-CN"/>
        </w:rPr>
        <w:t>2018中国超级电容器产业十大事件申报材料</w:t>
      </w:r>
    </w:p>
    <w:bookmarkEnd w:id="0"/>
    <w:p>
      <w:pPr>
        <w:widowControl w:val="0"/>
        <w:adjustRightInd/>
        <w:snapToGrid/>
        <w:spacing w:line="240" w:lineRule="auto"/>
        <w:ind w:firstLine="0" w:firstLineChars="0"/>
        <w:jc w:val="center"/>
        <w:rPr>
          <w:rFonts w:hint="eastAsia" w:ascii="黑体" w:hAnsi="Times New Roman" w:eastAsia="黑体" w:cs="Times New Roman"/>
          <w:kern w:val="2"/>
          <w:sz w:val="32"/>
          <w:szCs w:val="32"/>
          <w:lang w:val="en-US" w:eastAsia="zh-CN"/>
        </w:rPr>
      </w:pPr>
    </w:p>
    <w:p>
      <w:pPr>
        <w:spacing w:line="360" w:lineRule="auto"/>
        <w:ind w:firstLine="64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一、评选背景</w:t>
      </w:r>
    </w:p>
    <w:p>
      <w:pPr>
        <w:spacing w:line="360" w:lineRule="auto"/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2018年是我国超级电容器加速变革的一年。在这一年里,产业高速发展并迭代更新,在多个领域中衍生出新的商业应用。中国超级电容产业联盟将联合多家媒体开展“2018中国超级电容器产业十大事件”评选活动，记录历史，引领未来，推动进步，促进中国超级电容器行业健康发展。</w:t>
      </w:r>
    </w:p>
    <w:p>
      <w:pPr>
        <w:spacing w:line="360" w:lineRule="auto"/>
        <w:ind w:left="640" w:leftChars="200" w:firstLine="0" w:firstLineChars="0"/>
        <w:rPr>
          <w:rFonts w:ascii="仿宋" w:hAnsi="仿宋" w:eastAsia="仿宋" w:cs="仿宋"/>
          <w:b/>
          <w:bCs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二、相关事宜</w:t>
      </w:r>
    </w:p>
    <w:p>
      <w:pPr>
        <w:spacing w:line="360" w:lineRule="auto"/>
        <w:ind w:firstLine="640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Cs w:val="32"/>
        </w:rPr>
        <w:t>“2018中国超级电容器产业十大事件”包括行业重大新闻事件、先进科学成果、科研成果、行业代表性事件等。</w:t>
      </w:r>
    </w:p>
    <w:p>
      <w:pPr>
        <w:spacing w:line="360" w:lineRule="auto"/>
        <w:ind w:firstLine="643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三、</w:t>
      </w: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  <w:lang w:val="en-US" w:eastAsia="zh-CN"/>
        </w:rPr>
        <w:t>评选</w:t>
      </w: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申报表</w:t>
      </w:r>
    </w:p>
    <w:p>
      <w:pPr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  <w:lang w:val="en-US" w:eastAsia="zh-CN"/>
        </w:rPr>
      </w:pPr>
      <w:r>
        <w:rPr>
          <w:rFonts w:ascii="仿宋" w:hAnsi="仿宋" w:eastAsia="仿宋" w:cs="仿宋"/>
          <w:b/>
          <w:bCs/>
          <w:sz w:val="30"/>
          <w:szCs w:val="30"/>
        </w:rPr>
        <w:t>2018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中国</w:t>
      </w:r>
      <w:r>
        <w:rPr>
          <w:rFonts w:ascii="仿宋" w:hAnsi="仿宋" w:eastAsia="仿宋" w:cs="仿宋"/>
          <w:b/>
          <w:bCs/>
          <w:sz w:val="30"/>
          <w:szCs w:val="30"/>
        </w:rPr>
        <w:t>超级电容器产业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十大事件申报表</w:t>
      </w:r>
    </w:p>
    <w:tbl>
      <w:tblPr>
        <w:tblStyle w:val="25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6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单位名称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联系方式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主营业务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参选事件名称</w:t>
            </w:r>
          </w:p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（1-2项）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参选事件介绍</w:t>
            </w:r>
          </w:p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对超级电容器产业发展的作用与影响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重大媒体报道或转载（例如：央视、新华网等）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社会责任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</w:tbl>
    <w:p>
      <w:pPr>
        <w:ind w:firstLine="0" w:firstLineChars="0"/>
      </w:pPr>
    </w:p>
    <w:p>
      <w:pPr>
        <w:ind w:firstLine="5120" w:firstLineChars="1600"/>
      </w:pPr>
      <w:r>
        <w:rPr>
          <w:rFonts w:hint="eastAsia"/>
        </w:rPr>
        <w:t>单位公章：</w:t>
      </w:r>
    </w:p>
    <w:p>
      <w:pPr>
        <w:ind w:firstLine="0" w:firstLineChars="0"/>
      </w:pPr>
      <w:r>
        <w:rPr>
          <w:rFonts w:hint="eastAsia"/>
        </w:rPr>
        <w:t xml:space="preserve">                                                   日期：   年   月   日</w:t>
      </w: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240" w:lineRule="auto"/>
        <w:ind w:firstLine="0" w:firstLineChars="0"/>
        <w:jc w:val="left"/>
        <w:rPr>
          <w:rFonts w:ascii="黑体" w:hAnsi="黑体" w:eastAsia="黑体" w:cs="Times New Roman"/>
          <w:szCs w:val="32"/>
        </w:rPr>
      </w:pPr>
    </w:p>
    <w:p>
      <w:pPr>
        <w:spacing w:line="360" w:lineRule="auto"/>
        <w:ind w:firstLine="0" w:firstLineChars="0"/>
        <w:rPr>
          <w:rFonts w:ascii="黑体" w:hAnsi="黑体" w:eastAsia="黑体" w:cs="Times New Roman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 w:val="1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00591"/>
    <w:rsid w:val="00010BB4"/>
    <w:rsid w:val="00016CEE"/>
    <w:rsid w:val="000310F4"/>
    <w:rsid w:val="000315E9"/>
    <w:rsid w:val="00031C6C"/>
    <w:rsid w:val="000327CD"/>
    <w:rsid w:val="0004068A"/>
    <w:rsid w:val="0004504F"/>
    <w:rsid w:val="0005441F"/>
    <w:rsid w:val="00055496"/>
    <w:rsid w:val="000615CE"/>
    <w:rsid w:val="00063A9E"/>
    <w:rsid w:val="00064E6C"/>
    <w:rsid w:val="00065196"/>
    <w:rsid w:val="00072392"/>
    <w:rsid w:val="00075259"/>
    <w:rsid w:val="0008205B"/>
    <w:rsid w:val="00096CE4"/>
    <w:rsid w:val="000A6F84"/>
    <w:rsid w:val="000A7F66"/>
    <w:rsid w:val="000B07F7"/>
    <w:rsid w:val="000B1AF0"/>
    <w:rsid w:val="000B5E52"/>
    <w:rsid w:val="000C2C82"/>
    <w:rsid w:val="000F1B52"/>
    <w:rsid w:val="001120CC"/>
    <w:rsid w:val="00112C3F"/>
    <w:rsid w:val="00124A0B"/>
    <w:rsid w:val="001318D5"/>
    <w:rsid w:val="00150500"/>
    <w:rsid w:val="001521AE"/>
    <w:rsid w:val="00170418"/>
    <w:rsid w:val="001757DD"/>
    <w:rsid w:val="001800E5"/>
    <w:rsid w:val="00180BD8"/>
    <w:rsid w:val="00183543"/>
    <w:rsid w:val="0018652E"/>
    <w:rsid w:val="00186D86"/>
    <w:rsid w:val="00193495"/>
    <w:rsid w:val="001B5181"/>
    <w:rsid w:val="001C42BD"/>
    <w:rsid w:val="001F3443"/>
    <w:rsid w:val="001F73E1"/>
    <w:rsid w:val="0020490C"/>
    <w:rsid w:val="00206997"/>
    <w:rsid w:val="00214C61"/>
    <w:rsid w:val="00225FC6"/>
    <w:rsid w:val="002261B9"/>
    <w:rsid w:val="00230909"/>
    <w:rsid w:val="002356EE"/>
    <w:rsid w:val="00241838"/>
    <w:rsid w:val="00245732"/>
    <w:rsid w:val="002575C7"/>
    <w:rsid w:val="002A4A6D"/>
    <w:rsid w:val="002A4B6C"/>
    <w:rsid w:val="002B0E21"/>
    <w:rsid w:val="002C2087"/>
    <w:rsid w:val="002C658B"/>
    <w:rsid w:val="002D05C7"/>
    <w:rsid w:val="002D7A47"/>
    <w:rsid w:val="002E013E"/>
    <w:rsid w:val="002E41AC"/>
    <w:rsid w:val="002E7074"/>
    <w:rsid w:val="002F1534"/>
    <w:rsid w:val="0031443B"/>
    <w:rsid w:val="00323B43"/>
    <w:rsid w:val="003328AE"/>
    <w:rsid w:val="00333613"/>
    <w:rsid w:val="00335103"/>
    <w:rsid w:val="00346474"/>
    <w:rsid w:val="00360756"/>
    <w:rsid w:val="00381025"/>
    <w:rsid w:val="003A02B4"/>
    <w:rsid w:val="003B6AED"/>
    <w:rsid w:val="003C70EF"/>
    <w:rsid w:val="003C78E9"/>
    <w:rsid w:val="003D1263"/>
    <w:rsid w:val="003D312E"/>
    <w:rsid w:val="003D37D8"/>
    <w:rsid w:val="003D3895"/>
    <w:rsid w:val="003D574F"/>
    <w:rsid w:val="003D583C"/>
    <w:rsid w:val="003D79AD"/>
    <w:rsid w:val="003E3EB3"/>
    <w:rsid w:val="003F1CEC"/>
    <w:rsid w:val="003F3639"/>
    <w:rsid w:val="00411618"/>
    <w:rsid w:val="004148E8"/>
    <w:rsid w:val="00426133"/>
    <w:rsid w:val="004358AB"/>
    <w:rsid w:val="004427F8"/>
    <w:rsid w:val="00451B0C"/>
    <w:rsid w:val="00453597"/>
    <w:rsid w:val="00453632"/>
    <w:rsid w:val="00492037"/>
    <w:rsid w:val="00494DF7"/>
    <w:rsid w:val="004A52D4"/>
    <w:rsid w:val="004B12BA"/>
    <w:rsid w:val="004C1BE2"/>
    <w:rsid w:val="004C32CB"/>
    <w:rsid w:val="004D70A7"/>
    <w:rsid w:val="00500452"/>
    <w:rsid w:val="00506370"/>
    <w:rsid w:val="00516BE9"/>
    <w:rsid w:val="0052482C"/>
    <w:rsid w:val="005252DF"/>
    <w:rsid w:val="005275E9"/>
    <w:rsid w:val="00533E66"/>
    <w:rsid w:val="005606AD"/>
    <w:rsid w:val="00566F37"/>
    <w:rsid w:val="0058610A"/>
    <w:rsid w:val="0059597C"/>
    <w:rsid w:val="005A1D16"/>
    <w:rsid w:val="005A1E66"/>
    <w:rsid w:val="005B03CB"/>
    <w:rsid w:val="005B3F5B"/>
    <w:rsid w:val="005C3C4D"/>
    <w:rsid w:val="005D29E6"/>
    <w:rsid w:val="005D2E91"/>
    <w:rsid w:val="005E6F6C"/>
    <w:rsid w:val="005F12EE"/>
    <w:rsid w:val="005F3914"/>
    <w:rsid w:val="005F630E"/>
    <w:rsid w:val="00600CFD"/>
    <w:rsid w:val="00602BC4"/>
    <w:rsid w:val="006055E3"/>
    <w:rsid w:val="00607494"/>
    <w:rsid w:val="00612B1E"/>
    <w:rsid w:val="0061684F"/>
    <w:rsid w:val="00620691"/>
    <w:rsid w:val="00623759"/>
    <w:rsid w:val="0062522C"/>
    <w:rsid w:val="00625433"/>
    <w:rsid w:val="006425D4"/>
    <w:rsid w:val="00644CFE"/>
    <w:rsid w:val="00684DC2"/>
    <w:rsid w:val="006956C1"/>
    <w:rsid w:val="006C72DE"/>
    <w:rsid w:val="006C79E8"/>
    <w:rsid w:val="006D7B9D"/>
    <w:rsid w:val="006E3285"/>
    <w:rsid w:val="006E540C"/>
    <w:rsid w:val="006F004E"/>
    <w:rsid w:val="006F1EA6"/>
    <w:rsid w:val="00701942"/>
    <w:rsid w:val="007105C9"/>
    <w:rsid w:val="00711B3E"/>
    <w:rsid w:val="0072443B"/>
    <w:rsid w:val="007260F8"/>
    <w:rsid w:val="007401B1"/>
    <w:rsid w:val="0077310A"/>
    <w:rsid w:val="00785C85"/>
    <w:rsid w:val="00787A97"/>
    <w:rsid w:val="00797FD1"/>
    <w:rsid w:val="007B2C0D"/>
    <w:rsid w:val="007C61AD"/>
    <w:rsid w:val="007F060A"/>
    <w:rsid w:val="007F4C51"/>
    <w:rsid w:val="00817FFD"/>
    <w:rsid w:val="00826A49"/>
    <w:rsid w:val="00844394"/>
    <w:rsid w:val="00880084"/>
    <w:rsid w:val="008919C9"/>
    <w:rsid w:val="00891D4A"/>
    <w:rsid w:val="008961C9"/>
    <w:rsid w:val="008A2040"/>
    <w:rsid w:val="008A38C3"/>
    <w:rsid w:val="008A3DAC"/>
    <w:rsid w:val="008B04F3"/>
    <w:rsid w:val="008B406A"/>
    <w:rsid w:val="008B7726"/>
    <w:rsid w:val="008C7DC9"/>
    <w:rsid w:val="008E7CCF"/>
    <w:rsid w:val="008F20BD"/>
    <w:rsid w:val="008F56A8"/>
    <w:rsid w:val="00917CD4"/>
    <w:rsid w:val="00936FF1"/>
    <w:rsid w:val="009525A4"/>
    <w:rsid w:val="00966A9D"/>
    <w:rsid w:val="00970C27"/>
    <w:rsid w:val="009728A4"/>
    <w:rsid w:val="00992D66"/>
    <w:rsid w:val="009B41E0"/>
    <w:rsid w:val="009B6368"/>
    <w:rsid w:val="009C682A"/>
    <w:rsid w:val="009F6729"/>
    <w:rsid w:val="00A04C7D"/>
    <w:rsid w:val="00A110C9"/>
    <w:rsid w:val="00A2349D"/>
    <w:rsid w:val="00A464F0"/>
    <w:rsid w:val="00A47B74"/>
    <w:rsid w:val="00A71A7A"/>
    <w:rsid w:val="00A74319"/>
    <w:rsid w:val="00A7672B"/>
    <w:rsid w:val="00A77712"/>
    <w:rsid w:val="00A84C5C"/>
    <w:rsid w:val="00AA2A2D"/>
    <w:rsid w:val="00AB4098"/>
    <w:rsid w:val="00AB45BA"/>
    <w:rsid w:val="00AB474E"/>
    <w:rsid w:val="00AB61B7"/>
    <w:rsid w:val="00AC0E39"/>
    <w:rsid w:val="00AD3E21"/>
    <w:rsid w:val="00AD60E2"/>
    <w:rsid w:val="00AD6405"/>
    <w:rsid w:val="00AE1F1D"/>
    <w:rsid w:val="00AE4D35"/>
    <w:rsid w:val="00AE6CAB"/>
    <w:rsid w:val="00AE79AC"/>
    <w:rsid w:val="00AF2A98"/>
    <w:rsid w:val="00AF361C"/>
    <w:rsid w:val="00B04EA0"/>
    <w:rsid w:val="00B12B4E"/>
    <w:rsid w:val="00B132C2"/>
    <w:rsid w:val="00B22941"/>
    <w:rsid w:val="00B31554"/>
    <w:rsid w:val="00B3788E"/>
    <w:rsid w:val="00B57948"/>
    <w:rsid w:val="00B6160C"/>
    <w:rsid w:val="00B628A4"/>
    <w:rsid w:val="00B62E9E"/>
    <w:rsid w:val="00B65118"/>
    <w:rsid w:val="00B6734F"/>
    <w:rsid w:val="00B72457"/>
    <w:rsid w:val="00B86119"/>
    <w:rsid w:val="00BA0C72"/>
    <w:rsid w:val="00BB13CF"/>
    <w:rsid w:val="00BF4C4B"/>
    <w:rsid w:val="00BF7A5C"/>
    <w:rsid w:val="00C02D87"/>
    <w:rsid w:val="00C32C1E"/>
    <w:rsid w:val="00C400FD"/>
    <w:rsid w:val="00C41BD3"/>
    <w:rsid w:val="00C553D0"/>
    <w:rsid w:val="00C6106C"/>
    <w:rsid w:val="00C627A0"/>
    <w:rsid w:val="00C652E5"/>
    <w:rsid w:val="00C666F4"/>
    <w:rsid w:val="00C9164D"/>
    <w:rsid w:val="00CD3A7E"/>
    <w:rsid w:val="00CD654D"/>
    <w:rsid w:val="00CE4B5B"/>
    <w:rsid w:val="00CE6AA3"/>
    <w:rsid w:val="00D02E4A"/>
    <w:rsid w:val="00D05FE7"/>
    <w:rsid w:val="00D07087"/>
    <w:rsid w:val="00D075F8"/>
    <w:rsid w:val="00D12207"/>
    <w:rsid w:val="00D13992"/>
    <w:rsid w:val="00D24428"/>
    <w:rsid w:val="00D30F7E"/>
    <w:rsid w:val="00D31D50"/>
    <w:rsid w:val="00D5455C"/>
    <w:rsid w:val="00D61949"/>
    <w:rsid w:val="00D62A44"/>
    <w:rsid w:val="00D75084"/>
    <w:rsid w:val="00D754F2"/>
    <w:rsid w:val="00D75882"/>
    <w:rsid w:val="00D77702"/>
    <w:rsid w:val="00DB6BB1"/>
    <w:rsid w:val="00DD0824"/>
    <w:rsid w:val="00DD24DB"/>
    <w:rsid w:val="00DE3782"/>
    <w:rsid w:val="00DE684F"/>
    <w:rsid w:val="00E02835"/>
    <w:rsid w:val="00E264DF"/>
    <w:rsid w:val="00E3208B"/>
    <w:rsid w:val="00E32DB2"/>
    <w:rsid w:val="00E502CB"/>
    <w:rsid w:val="00E600A2"/>
    <w:rsid w:val="00E668D3"/>
    <w:rsid w:val="00E706E1"/>
    <w:rsid w:val="00E74C7A"/>
    <w:rsid w:val="00EA08DE"/>
    <w:rsid w:val="00EC6A61"/>
    <w:rsid w:val="00ED724D"/>
    <w:rsid w:val="00EE4E75"/>
    <w:rsid w:val="00F07AC7"/>
    <w:rsid w:val="00F12ECD"/>
    <w:rsid w:val="00F2079E"/>
    <w:rsid w:val="00F2288E"/>
    <w:rsid w:val="00F24E98"/>
    <w:rsid w:val="00F55E03"/>
    <w:rsid w:val="00F62F3A"/>
    <w:rsid w:val="00F867C7"/>
    <w:rsid w:val="00FD2876"/>
    <w:rsid w:val="00FE7168"/>
    <w:rsid w:val="00FF0CF0"/>
    <w:rsid w:val="00FF3A09"/>
    <w:rsid w:val="00FF4481"/>
    <w:rsid w:val="01437550"/>
    <w:rsid w:val="014C7015"/>
    <w:rsid w:val="03005DDA"/>
    <w:rsid w:val="041D4C3D"/>
    <w:rsid w:val="042413ED"/>
    <w:rsid w:val="05E77D88"/>
    <w:rsid w:val="06B517A5"/>
    <w:rsid w:val="076169D1"/>
    <w:rsid w:val="07B07ABC"/>
    <w:rsid w:val="08602FCD"/>
    <w:rsid w:val="09230638"/>
    <w:rsid w:val="099F21B8"/>
    <w:rsid w:val="0B0E2DCB"/>
    <w:rsid w:val="0BDE2B18"/>
    <w:rsid w:val="0BE034B5"/>
    <w:rsid w:val="0C2750C5"/>
    <w:rsid w:val="0DB75D25"/>
    <w:rsid w:val="0EC70537"/>
    <w:rsid w:val="0FCA7FB4"/>
    <w:rsid w:val="10160932"/>
    <w:rsid w:val="101A6F75"/>
    <w:rsid w:val="114D7630"/>
    <w:rsid w:val="134A7AA5"/>
    <w:rsid w:val="135E06A7"/>
    <w:rsid w:val="137F2C13"/>
    <w:rsid w:val="1423222B"/>
    <w:rsid w:val="14B138C5"/>
    <w:rsid w:val="152B4CEE"/>
    <w:rsid w:val="15A75463"/>
    <w:rsid w:val="172614D7"/>
    <w:rsid w:val="185F4541"/>
    <w:rsid w:val="192450EF"/>
    <w:rsid w:val="196214EB"/>
    <w:rsid w:val="198A663A"/>
    <w:rsid w:val="1A2B3DBA"/>
    <w:rsid w:val="1AFA119F"/>
    <w:rsid w:val="1B176F64"/>
    <w:rsid w:val="1B510DBC"/>
    <w:rsid w:val="1B7E410F"/>
    <w:rsid w:val="1E3E518F"/>
    <w:rsid w:val="1F4E1E6D"/>
    <w:rsid w:val="1F880BB1"/>
    <w:rsid w:val="204035BE"/>
    <w:rsid w:val="208001DC"/>
    <w:rsid w:val="21020761"/>
    <w:rsid w:val="22E17C0A"/>
    <w:rsid w:val="23A936D3"/>
    <w:rsid w:val="25196DF7"/>
    <w:rsid w:val="27BD70A3"/>
    <w:rsid w:val="290443DF"/>
    <w:rsid w:val="293A1D2A"/>
    <w:rsid w:val="29714D4C"/>
    <w:rsid w:val="2A075688"/>
    <w:rsid w:val="2ADB5C2E"/>
    <w:rsid w:val="2B58778F"/>
    <w:rsid w:val="2B7522F2"/>
    <w:rsid w:val="2BF30D6A"/>
    <w:rsid w:val="2C884C9E"/>
    <w:rsid w:val="2D2D7347"/>
    <w:rsid w:val="2DAB2AC5"/>
    <w:rsid w:val="2DF31048"/>
    <w:rsid w:val="2E165AF5"/>
    <w:rsid w:val="2E4D3945"/>
    <w:rsid w:val="2ED43FF8"/>
    <w:rsid w:val="2EED77DB"/>
    <w:rsid w:val="30245CD3"/>
    <w:rsid w:val="3054217C"/>
    <w:rsid w:val="314811A6"/>
    <w:rsid w:val="321444BF"/>
    <w:rsid w:val="326B18BD"/>
    <w:rsid w:val="33A12D18"/>
    <w:rsid w:val="33B73506"/>
    <w:rsid w:val="347A517C"/>
    <w:rsid w:val="36141C90"/>
    <w:rsid w:val="364379F1"/>
    <w:rsid w:val="36E7001F"/>
    <w:rsid w:val="37577E1B"/>
    <w:rsid w:val="382624A4"/>
    <w:rsid w:val="38E24D3C"/>
    <w:rsid w:val="38FF3A6A"/>
    <w:rsid w:val="39D707AA"/>
    <w:rsid w:val="3A3961C9"/>
    <w:rsid w:val="3A3B4230"/>
    <w:rsid w:val="3A773562"/>
    <w:rsid w:val="3C9912A6"/>
    <w:rsid w:val="3D3C2CDC"/>
    <w:rsid w:val="3DBC1D5E"/>
    <w:rsid w:val="3DD6540B"/>
    <w:rsid w:val="3DE86A90"/>
    <w:rsid w:val="3E220377"/>
    <w:rsid w:val="412C1373"/>
    <w:rsid w:val="43BC3B1D"/>
    <w:rsid w:val="43DA7B5F"/>
    <w:rsid w:val="450A23CA"/>
    <w:rsid w:val="454241D8"/>
    <w:rsid w:val="46861C17"/>
    <w:rsid w:val="47C8389F"/>
    <w:rsid w:val="48216460"/>
    <w:rsid w:val="48E65F99"/>
    <w:rsid w:val="49184334"/>
    <w:rsid w:val="49CC6A3D"/>
    <w:rsid w:val="4BAF7B6B"/>
    <w:rsid w:val="4BD67134"/>
    <w:rsid w:val="4CB2626E"/>
    <w:rsid w:val="4CD015A6"/>
    <w:rsid w:val="4E6C29E2"/>
    <w:rsid w:val="4EAF457D"/>
    <w:rsid w:val="51655585"/>
    <w:rsid w:val="516D0F4F"/>
    <w:rsid w:val="523C2738"/>
    <w:rsid w:val="52605776"/>
    <w:rsid w:val="5359264A"/>
    <w:rsid w:val="53673DDE"/>
    <w:rsid w:val="54A82FD4"/>
    <w:rsid w:val="564F4B56"/>
    <w:rsid w:val="56A8346F"/>
    <w:rsid w:val="56AF345E"/>
    <w:rsid w:val="5AFA224E"/>
    <w:rsid w:val="5B0D383E"/>
    <w:rsid w:val="5BBB587D"/>
    <w:rsid w:val="5C7B6BBC"/>
    <w:rsid w:val="5FD305B2"/>
    <w:rsid w:val="619F6EAE"/>
    <w:rsid w:val="61F92DF9"/>
    <w:rsid w:val="622A6758"/>
    <w:rsid w:val="62476747"/>
    <w:rsid w:val="62DD373C"/>
    <w:rsid w:val="63B97869"/>
    <w:rsid w:val="646D7F43"/>
    <w:rsid w:val="64910C88"/>
    <w:rsid w:val="64C33D7E"/>
    <w:rsid w:val="64C537E4"/>
    <w:rsid w:val="65D253C5"/>
    <w:rsid w:val="65F9597C"/>
    <w:rsid w:val="673A2B2D"/>
    <w:rsid w:val="674C74D5"/>
    <w:rsid w:val="67977632"/>
    <w:rsid w:val="68677AAE"/>
    <w:rsid w:val="68E8134B"/>
    <w:rsid w:val="692930EA"/>
    <w:rsid w:val="6A2315E5"/>
    <w:rsid w:val="6B2F35B2"/>
    <w:rsid w:val="6CE626E8"/>
    <w:rsid w:val="6D7A0564"/>
    <w:rsid w:val="6DC7145D"/>
    <w:rsid w:val="6E383AC5"/>
    <w:rsid w:val="6E7906AB"/>
    <w:rsid w:val="6F7F3ED9"/>
    <w:rsid w:val="7200695A"/>
    <w:rsid w:val="721C57DF"/>
    <w:rsid w:val="727A6FB7"/>
    <w:rsid w:val="734B6BA6"/>
    <w:rsid w:val="73AF35EA"/>
    <w:rsid w:val="76D56B02"/>
    <w:rsid w:val="77302966"/>
    <w:rsid w:val="77B3708A"/>
    <w:rsid w:val="7AC3318C"/>
    <w:rsid w:val="7BE521AF"/>
    <w:rsid w:val="7CC93D57"/>
    <w:rsid w:val="7D514600"/>
    <w:rsid w:val="7D90733C"/>
    <w:rsid w:val="7DC50C43"/>
    <w:rsid w:val="7E395767"/>
    <w:rsid w:val="7E72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qFormat="1" w:uiPriority="99" w:semiHidden="0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560" w:lineRule="exact"/>
      <w:ind w:firstLine="200" w:firstLineChars="200"/>
      <w:jc w:val="both"/>
    </w:pPr>
    <w:rPr>
      <w:rFonts w:ascii="Tahoma" w:hAnsi="Tahoma" w:eastAsia="仿宋_GB2312" w:cstheme="minorBidi"/>
      <w:sz w:val="3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31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29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26"/>
    <w:unhideWhenUsed/>
    <w:qFormat/>
    <w:uiPriority w:val="0"/>
    <w:pP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7">
    <w:name w:val="footnote text"/>
    <w:basedOn w:val="1"/>
    <w:semiHidden/>
    <w:qFormat/>
    <w:uiPriority w:val="0"/>
    <w:pPr>
      <w:jc w:val="left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仿宋_GB2312"/>
      <w:sz w:val="20"/>
      <w:szCs w:val="20"/>
    </w:rPr>
  </w:style>
  <w:style w:type="paragraph" w:styleId="9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sz w:val="24"/>
      <w:szCs w:val="24"/>
    </w:rPr>
  </w:style>
  <w:style w:type="character" w:styleId="11">
    <w:name w:val="Strong"/>
    <w:basedOn w:val="10"/>
    <w:qFormat/>
    <w:uiPriority w:val="22"/>
  </w:style>
  <w:style w:type="character" w:styleId="12">
    <w:name w:val="FollowedHyperlink"/>
    <w:basedOn w:val="10"/>
    <w:semiHidden/>
    <w:unhideWhenUsed/>
    <w:qFormat/>
    <w:uiPriority w:val="99"/>
    <w:rPr>
      <w:color w:val="000000"/>
      <w:u w:val="none"/>
    </w:rPr>
  </w:style>
  <w:style w:type="character" w:styleId="13">
    <w:name w:val="Emphasis"/>
    <w:basedOn w:val="10"/>
    <w:qFormat/>
    <w:uiPriority w:val="20"/>
  </w:style>
  <w:style w:type="character" w:styleId="14">
    <w:name w:val="HTML Definition"/>
    <w:basedOn w:val="10"/>
    <w:semiHidden/>
    <w:unhideWhenUsed/>
    <w:qFormat/>
    <w:uiPriority w:val="99"/>
  </w:style>
  <w:style w:type="character" w:styleId="15">
    <w:name w:val="HTML Typewriter"/>
    <w:basedOn w:val="1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6">
    <w:name w:val="HTML Acronym"/>
    <w:basedOn w:val="10"/>
    <w:semiHidden/>
    <w:unhideWhenUsed/>
    <w:qFormat/>
    <w:uiPriority w:val="99"/>
  </w:style>
  <w:style w:type="character" w:styleId="17">
    <w:name w:val="HTML Variable"/>
    <w:basedOn w:val="10"/>
    <w:semiHidden/>
    <w:unhideWhenUsed/>
    <w:qFormat/>
    <w:uiPriority w:val="99"/>
  </w:style>
  <w:style w:type="character" w:styleId="18">
    <w:name w:val="Hyperlink"/>
    <w:basedOn w:val="10"/>
    <w:unhideWhenUsed/>
    <w:qFormat/>
    <w:uiPriority w:val="99"/>
    <w:rPr>
      <w:color w:val="0000FF"/>
      <w:u w:val="single"/>
    </w:rPr>
  </w:style>
  <w:style w:type="character" w:styleId="19">
    <w:name w:val="HTML Code"/>
    <w:basedOn w:val="1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0">
    <w:name w:val="HTML Cite"/>
    <w:basedOn w:val="10"/>
    <w:semiHidden/>
    <w:unhideWhenUsed/>
    <w:qFormat/>
    <w:uiPriority w:val="99"/>
  </w:style>
  <w:style w:type="character" w:styleId="21">
    <w:name w:val="footnote reference"/>
    <w:basedOn w:val="10"/>
    <w:semiHidden/>
    <w:qFormat/>
    <w:uiPriority w:val="0"/>
    <w:rPr>
      <w:vertAlign w:val="superscript"/>
    </w:rPr>
  </w:style>
  <w:style w:type="character" w:styleId="22">
    <w:name w:val="HTML Keyboard"/>
    <w:basedOn w:val="10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3">
    <w:name w:val="HTML Sample"/>
    <w:basedOn w:val="10"/>
    <w:semiHidden/>
    <w:unhideWhenUsed/>
    <w:qFormat/>
    <w:uiPriority w:val="99"/>
    <w:rPr>
      <w:rFonts w:hint="default" w:ascii="monospace" w:hAnsi="monospace" w:eastAsia="monospace" w:cs="monospace"/>
    </w:rPr>
  </w:style>
  <w:style w:type="table" w:styleId="25">
    <w:name w:val="Table Grid"/>
    <w:basedOn w:val="24"/>
    <w:qFormat/>
    <w:uiPriority w:val="0"/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6">
    <w:name w:val="页眉 字符"/>
    <w:basedOn w:val="10"/>
    <w:link w:val="6"/>
    <w:qFormat/>
    <w:uiPriority w:val="0"/>
    <w:rPr>
      <w:rFonts w:ascii="Tahoma" w:hAnsi="Tahoma" w:eastAsia="仿宋_GB2312"/>
      <w:sz w:val="18"/>
      <w:szCs w:val="18"/>
    </w:rPr>
  </w:style>
  <w:style w:type="character" w:customStyle="1" w:styleId="27">
    <w:name w:val="页脚 字符"/>
    <w:basedOn w:val="10"/>
    <w:link w:val="5"/>
    <w:semiHidden/>
    <w:qFormat/>
    <w:uiPriority w:val="99"/>
    <w:rPr>
      <w:rFonts w:ascii="Tahoma" w:hAnsi="Tahoma" w:eastAsia="仿宋_GB2312"/>
      <w:sz w:val="18"/>
      <w:szCs w:val="18"/>
    </w:rPr>
  </w:style>
  <w:style w:type="paragraph" w:customStyle="1" w:styleId="28">
    <w:name w:val="列出段落1"/>
    <w:basedOn w:val="1"/>
    <w:qFormat/>
    <w:uiPriority w:val="34"/>
    <w:pPr>
      <w:ind w:firstLine="420"/>
    </w:pPr>
  </w:style>
  <w:style w:type="character" w:customStyle="1" w:styleId="29">
    <w:name w:val="批注框文本 字符"/>
    <w:basedOn w:val="10"/>
    <w:link w:val="4"/>
    <w:semiHidden/>
    <w:qFormat/>
    <w:uiPriority w:val="99"/>
    <w:rPr>
      <w:rFonts w:ascii="Tahoma" w:hAnsi="Tahoma" w:eastAsia="仿宋_GB2312"/>
      <w:sz w:val="18"/>
      <w:szCs w:val="18"/>
    </w:rPr>
  </w:style>
  <w:style w:type="character" w:customStyle="1" w:styleId="30">
    <w:name w:val="huodong_text"/>
    <w:basedOn w:val="10"/>
    <w:qFormat/>
    <w:uiPriority w:val="0"/>
  </w:style>
  <w:style w:type="character" w:customStyle="1" w:styleId="31">
    <w:name w:val="日期 字符"/>
    <w:basedOn w:val="10"/>
    <w:link w:val="3"/>
    <w:semiHidden/>
    <w:qFormat/>
    <w:uiPriority w:val="99"/>
    <w:rPr>
      <w:rFonts w:ascii="Tahoma" w:hAnsi="Tahoma" w:eastAsia="仿宋_GB231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995C2A-01AE-49AD-B2AA-BC6B316354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626</Words>
  <Characters>3572</Characters>
  <Lines>29</Lines>
  <Paragraphs>8</Paragraphs>
  <TotalTime>5</TotalTime>
  <ScaleCrop>false</ScaleCrop>
  <LinksUpToDate>false</LinksUpToDate>
  <CharactersWithSpaces>4190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2017-09-19T16:24:00Z</dcterms:created>
  <dc:creator>yuwenke</dc:creator>
  <cp:lastModifiedBy>李_LICB</cp:lastModifiedBy>
  <cp:lastPrinted>2017-08-28T05:31:00Z</cp:lastPrinted>
  <dcterms:modified xsi:type="dcterms:W3CDTF">2018-09-28T01:59:47Z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