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left"/>
        <w:rPr>
          <w:rFonts w:ascii="仿宋" w:hAnsi="仿宋" w:eastAsia="仿宋" w:cs="仿宋"/>
          <w:color w:val="000000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Cs w:val="32"/>
          <w:shd w:val="clear" w:color="auto" w:fill="FFFFFF"/>
        </w:rPr>
        <w:t>附件2：</w:t>
      </w:r>
    </w:p>
    <w:p>
      <w:pPr>
        <w:widowControl w:val="0"/>
        <w:adjustRightInd/>
        <w:snapToGrid/>
        <w:spacing w:line="240" w:lineRule="auto"/>
        <w:ind w:firstLine="0" w:firstLineChars="0"/>
        <w:jc w:val="center"/>
        <w:rPr>
          <w:rFonts w:ascii="黑体" w:hAnsi="Times New Roman" w:eastAsia="黑体" w:cs="Times New Roman"/>
          <w:kern w:val="2"/>
          <w:szCs w:val="32"/>
        </w:rPr>
      </w:pPr>
      <w:r>
        <w:rPr>
          <w:rFonts w:hint="eastAsia" w:ascii="黑体" w:hAnsi="Times New Roman" w:eastAsia="黑体" w:cs="Times New Roman"/>
          <w:kern w:val="2"/>
          <w:szCs w:val="32"/>
        </w:rPr>
        <w:t>2019中国超级电容产业十大事件申报材料</w:t>
      </w:r>
    </w:p>
    <w:p>
      <w:pPr>
        <w:widowControl w:val="0"/>
        <w:adjustRightInd/>
        <w:snapToGrid/>
        <w:spacing w:line="240" w:lineRule="auto"/>
        <w:ind w:firstLine="0" w:firstLineChars="0"/>
        <w:jc w:val="center"/>
        <w:rPr>
          <w:rFonts w:ascii="黑体" w:hAnsi="Times New Roman" w:eastAsia="黑体" w:cs="Times New Roman"/>
          <w:kern w:val="2"/>
          <w:szCs w:val="32"/>
        </w:rPr>
      </w:pPr>
    </w:p>
    <w:p>
      <w:pPr>
        <w:spacing w:line="360" w:lineRule="auto"/>
        <w:ind w:firstLine="64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Cs w:val="32"/>
          <w:shd w:val="clear" w:color="auto" w:fill="FFFFFF"/>
        </w:rPr>
        <w:t>一、评选背景</w:t>
      </w:r>
    </w:p>
    <w:p>
      <w:pPr>
        <w:spacing w:line="360" w:lineRule="auto"/>
        <w:ind w:firstLine="64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中国超级电容产业联盟联合多家媒体开展“2019中国超级电容产业十大事件”评选活动，记录历史，引领未来，推动进步，促进中国超级电</w:t>
      </w:r>
      <w:bookmarkStart w:id="0" w:name="_GoBack"/>
      <w:bookmarkEnd w:id="0"/>
      <w:r>
        <w:rPr>
          <w:rFonts w:hint="eastAsia" w:ascii="仿宋" w:hAnsi="仿宋" w:eastAsia="仿宋" w:cs="仿宋"/>
          <w:szCs w:val="32"/>
        </w:rPr>
        <w:t>容行业健康发展。</w:t>
      </w:r>
    </w:p>
    <w:p>
      <w:pPr>
        <w:spacing w:line="360" w:lineRule="auto"/>
        <w:ind w:left="640" w:leftChars="200" w:firstLine="0" w:firstLineChars="0"/>
        <w:rPr>
          <w:rFonts w:ascii="仿宋" w:hAnsi="仿宋" w:eastAsia="仿宋" w:cs="仿宋"/>
          <w:b/>
          <w:bCs/>
          <w:color w:val="000000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Cs w:val="32"/>
          <w:shd w:val="clear" w:color="auto" w:fill="FFFFFF"/>
        </w:rPr>
        <w:t>二、相关事宜</w:t>
      </w:r>
    </w:p>
    <w:p>
      <w:pPr>
        <w:spacing w:line="360" w:lineRule="auto"/>
        <w:ind w:firstLine="640"/>
        <w:rPr>
          <w:rFonts w:ascii="黑体" w:hAnsi="黑体" w:eastAsia="黑体" w:cs="宋体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szCs w:val="32"/>
        </w:rPr>
        <w:t>“2019中国超级电容产业十大事件”包括行业重大新闻事件、先进科学成果</w:t>
      </w:r>
      <w:r>
        <w:rPr>
          <w:rFonts w:hint="eastAsia" w:ascii="仿宋" w:hAnsi="仿宋" w:eastAsia="仿宋" w:cs="仿宋"/>
          <w:szCs w:val="32"/>
          <w:lang w:eastAsia="zh-CN"/>
        </w:rPr>
        <w:t>、</w:t>
      </w:r>
      <w:r>
        <w:rPr>
          <w:rFonts w:hint="eastAsia" w:ascii="仿宋" w:hAnsi="仿宋" w:eastAsia="仿宋" w:cs="仿宋"/>
          <w:szCs w:val="32"/>
          <w:lang w:val="en-US" w:eastAsia="zh-CN"/>
        </w:rPr>
        <w:t>技术创新</w:t>
      </w:r>
      <w:r>
        <w:rPr>
          <w:rFonts w:hint="eastAsia" w:ascii="仿宋" w:hAnsi="仿宋" w:eastAsia="仿宋" w:cs="仿宋"/>
          <w:szCs w:val="32"/>
        </w:rPr>
        <w:t>成果、行业代表性事件等。</w:t>
      </w:r>
    </w:p>
    <w:p>
      <w:pPr>
        <w:spacing w:line="360" w:lineRule="auto"/>
        <w:ind w:firstLine="643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szCs w:val="32"/>
          <w:shd w:val="clear" w:color="auto" w:fill="FFFFFF"/>
        </w:rPr>
        <w:t>三、评选申报表</w:t>
      </w:r>
    </w:p>
    <w:p>
      <w:pPr>
        <w:spacing w:line="360" w:lineRule="auto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Cs w:val="32"/>
          <w:shd w:val="clear" w:color="auto" w:fill="FFFFFF"/>
        </w:rPr>
      </w:pPr>
      <w:r>
        <w:rPr>
          <w:rFonts w:ascii="仿宋" w:hAnsi="仿宋" w:eastAsia="仿宋" w:cs="仿宋"/>
          <w:b/>
          <w:bCs/>
          <w:sz w:val="30"/>
          <w:szCs w:val="30"/>
        </w:rPr>
        <w:t>201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9中国</w:t>
      </w:r>
      <w:r>
        <w:rPr>
          <w:rFonts w:ascii="仿宋" w:hAnsi="仿宋" w:eastAsia="仿宋" w:cs="仿宋"/>
          <w:b/>
          <w:bCs/>
          <w:sz w:val="30"/>
          <w:szCs w:val="30"/>
        </w:rPr>
        <w:t>超级电容产业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十大事件申报表</w:t>
      </w:r>
    </w:p>
    <w:tbl>
      <w:tblPr>
        <w:tblStyle w:val="3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6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单位名称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联系方式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主营业务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参选事件名称</w:t>
            </w:r>
          </w:p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（1-2项）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参选事件介绍</w:t>
            </w:r>
          </w:p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对超级电容产业发展的作用与影响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重大媒体报道或转载（例如：央视、新华网等）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191" w:type="dxa"/>
          </w:tcPr>
          <w:p>
            <w:pPr>
              <w:widowControl w:val="0"/>
              <w:adjustRightInd/>
              <w:snapToGrid/>
              <w:spacing w:line="400" w:lineRule="exact"/>
              <w:ind w:firstLine="0" w:firstLineChars="0"/>
              <w:jc w:val="left"/>
              <w:rPr>
                <w:rFonts w:ascii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cs="Times New Roman"/>
                <w:kern w:val="2"/>
                <w:sz w:val="24"/>
                <w:szCs w:val="24"/>
              </w:rPr>
              <w:t>社会责任</w:t>
            </w:r>
          </w:p>
        </w:tc>
        <w:tc>
          <w:tcPr>
            <w:tcW w:w="6330" w:type="dxa"/>
          </w:tcPr>
          <w:p>
            <w:pPr>
              <w:ind w:firstLine="0" w:firstLineChars="0"/>
              <w:rPr>
                <w:rFonts w:ascii="仿宋_GB2312" w:hAnsiTheme="minorEastAsia"/>
                <w:sz w:val="24"/>
                <w:szCs w:val="24"/>
              </w:rPr>
            </w:pPr>
          </w:p>
        </w:tc>
      </w:tr>
    </w:tbl>
    <w:p>
      <w:pPr>
        <w:ind w:firstLine="0" w:firstLineChars="0"/>
      </w:pPr>
    </w:p>
    <w:p>
      <w:pPr>
        <w:ind w:firstLine="5120" w:firstLineChars="1600"/>
      </w:pPr>
      <w:r>
        <w:rPr>
          <w:rFonts w:hint="eastAsia"/>
        </w:rPr>
        <w:t>单位公章：</w:t>
      </w:r>
    </w:p>
    <w:p>
      <w:pPr>
        <w:ind w:left="5120" w:hanging="5120" w:hangingChars="1600"/>
      </w:pPr>
      <w:r>
        <w:rPr>
          <w:rFonts w:hint="eastAsia"/>
        </w:rPr>
        <w:t xml:space="preserve">                                日期：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B4E86"/>
    <w:rsid w:val="63BB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560" w:lineRule="exact"/>
      <w:ind w:firstLine="200" w:firstLineChars="200"/>
      <w:jc w:val="both"/>
    </w:pPr>
    <w:rPr>
      <w:rFonts w:ascii="Tahoma" w:hAnsi="Tahoma" w:eastAsia="仿宋_GB2312" w:cstheme="minorBidi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rFonts w:eastAsiaTheme="minorEastAs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2019-09-16T08:56:00Z</dcterms:created>
  <dc:creator>李_LICB</dc:creator>
  <cp:lastModifiedBy>李_LICB</cp:lastModifiedBy>
  <dcterms:modified xsi:type="dcterms:W3CDTF">2019-09-16T08:57:48Z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