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附件3：</w:t>
      </w:r>
    </w:p>
    <w:p>
      <w:pPr>
        <w:widowControl w:val="0"/>
        <w:adjustRightInd/>
        <w:snapToGrid/>
        <w:spacing w:line="240" w:lineRule="auto"/>
        <w:ind w:firstLine="0" w:firstLineChars="0"/>
        <w:jc w:val="center"/>
        <w:rPr>
          <w:rFonts w:ascii="黑体" w:hAnsi="Times New Roman" w:eastAsia="黑体" w:cs="Times New Roman"/>
          <w:kern w:val="2"/>
          <w:szCs w:val="32"/>
        </w:rPr>
      </w:pPr>
      <w:bookmarkStart w:id="0" w:name="_GoBack"/>
      <w:r>
        <w:rPr>
          <w:rFonts w:hint="eastAsia" w:ascii="黑体" w:hAnsi="Times New Roman" w:eastAsia="黑体" w:cs="Times New Roman"/>
          <w:kern w:val="2"/>
          <w:szCs w:val="32"/>
        </w:rPr>
        <w:t>2019中国超级电容产业年度人物申报表</w:t>
      </w:r>
    </w:p>
    <w:bookmarkEnd w:id="0"/>
    <w:p>
      <w:pPr>
        <w:spacing w:line="360" w:lineRule="auto"/>
        <w:ind w:firstLine="0" w:firstLineChars="0"/>
        <w:rPr>
          <w:rFonts w:ascii="仿宋" w:hAnsi="仿宋" w:eastAsia="仿宋" w:cs="仿宋"/>
          <w:b/>
          <w:bCs/>
          <w:color w:val="000000"/>
          <w:szCs w:val="32"/>
          <w:shd w:val="clear" w:color="auto" w:fill="FFFFFF"/>
        </w:rPr>
      </w:pPr>
    </w:p>
    <w:p>
      <w:pPr>
        <w:spacing w:line="240" w:lineRule="auto"/>
        <w:ind w:firstLine="643"/>
        <w:rPr>
          <w:rFonts w:hint="eastAsia"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auto"/>
        </w:rPr>
        <w:t>一、评选背景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为表彰</w:t>
      </w:r>
      <w:r>
        <w:rPr>
          <w:rFonts w:ascii="仿宋" w:hAnsi="仿宋" w:eastAsia="仿宋" w:cs="仿宋"/>
          <w:szCs w:val="32"/>
        </w:rPr>
        <w:t>超</w:t>
      </w:r>
      <w:r>
        <w:rPr>
          <w:rFonts w:hint="eastAsia" w:ascii="仿宋" w:hAnsi="仿宋" w:eastAsia="仿宋" w:cs="仿宋"/>
          <w:szCs w:val="32"/>
        </w:rPr>
        <w:t>级</w:t>
      </w:r>
      <w:r>
        <w:rPr>
          <w:rFonts w:ascii="仿宋" w:hAnsi="仿宋" w:eastAsia="仿宋" w:cs="仿宋"/>
          <w:szCs w:val="32"/>
        </w:rPr>
        <w:t>电容产业</w:t>
      </w:r>
      <w:r>
        <w:rPr>
          <w:rFonts w:hint="eastAsia" w:ascii="仿宋" w:hAnsi="仿宋" w:eastAsia="仿宋" w:cs="仿宋"/>
          <w:szCs w:val="32"/>
        </w:rPr>
        <w:t>优秀代表人物所做出的成绩</w:t>
      </w:r>
      <w:r>
        <w:rPr>
          <w:rFonts w:ascii="仿宋" w:hAnsi="仿宋" w:eastAsia="仿宋" w:cs="仿宋"/>
          <w:szCs w:val="32"/>
        </w:rPr>
        <w:t>及</w:t>
      </w:r>
      <w:r>
        <w:rPr>
          <w:rFonts w:hint="eastAsia" w:ascii="仿宋" w:hAnsi="仿宋" w:eastAsia="仿宋" w:cs="仿宋"/>
          <w:szCs w:val="32"/>
        </w:rPr>
        <w:t>贡献，为更多的年轻科学家及企业家提供学习先进榜样</w:t>
      </w:r>
      <w:r>
        <w:rPr>
          <w:rFonts w:hint="eastAsia" w:ascii="仿宋" w:hAnsi="仿宋" w:eastAsia="仿宋" w:cs="仿宋"/>
          <w:szCs w:val="32"/>
          <w:lang w:val="en-US" w:eastAsia="zh-CN"/>
        </w:rPr>
        <w:t>的平台</w:t>
      </w:r>
      <w:r>
        <w:rPr>
          <w:rFonts w:hint="eastAsia" w:ascii="仿宋" w:hAnsi="仿宋" w:eastAsia="仿宋" w:cs="仿宋"/>
          <w:szCs w:val="32"/>
        </w:rPr>
        <w:t>，现开展“2019超级电容产业年度人物”评选活动，此活动旨在评选出对超级电容产业发展做出成绩、贡献的杰出人物，为超级电容行业树立先进标杆。</w:t>
      </w:r>
    </w:p>
    <w:p>
      <w:pPr>
        <w:ind w:firstLine="643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二、评选范围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1、国内外知名高校、科研院所、企事业单位从事超级电容研究或技术开发，有重要科学发现或技术发明的学术</w:t>
      </w:r>
      <w:r>
        <w:rPr>
          <w:rFonts w:ascii="仿宋" w:hAnsi="仿宋" w:eastAsia="仿宋" w:cs="仿宋"/>
          <w:szCs w:val="32"/>
        </w:rPr>
        <w:t>、技术</w:t>
      </w:r>
      <w:r>
        <w:rPr>
          <w:rFonts w:hint="eastAsia" w:ascii="仿宋" w:hAnsi="仿宋" w:eastAsia="仿宋" w:cs="仿宋"/>
          <w:szCs w:val="32"/>
        </w:rPr>
        <w:t>研究人员；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2、有创新的领先商业模式，带领企业取得了良好的经济效益、环境效益和社会效益，对超级电容产业发展产生重大影响的企业家；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3、对推动超级电容产业发展方向有重要影响的行业人士。</w:t>
      </w:r>
    </w:p>
    <w:p>
      <w:pPr>
        <w:ind w:firstLine="643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三、评选条件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</w:t>
      </w:r>
      <w:r>
        <w:rPr>
          <w:rFonts w:ascii="仿宋" w:hAnsi="仿宋" w:eastAsia="仿宋" w:cs="仿宋"/>
          <w:szCs w:val="32"/>
        </w:rPr>
        <w:t>、201</w:t>
      </w:r>
      <w:r>
        <w:rPr>
          <w:rFonts w:hint="eastAsia" w:ascii="仿宋" w:hAnsi="仿宋" w:eastAsia="仿宋" w:cs="仿宋"/>
          <w:szCs w:val="32"/>
        </w:rPr>
        <w:t>9</w:t>
      </w:r>
      <w:r>
        <w:rPr>
          <w:rFonts w:ascii="仿宋" w:hAnsi="仿宋" w:eastAsia="仿宋" w:cs="仿宋"/>
          <w:szCs w:val="32"/>
        </w:rPr>
        <w:t>年获得学术、</w:t>
      </w:r>
      <w:r>
        <w:rPr>
          <w:rFonts w:hint="eastAsia" w:ascii="仿宋" w:hAnsi="仿宋" w:eastAsia="仿宋" w:cs="仿宋"/>
          <w:szCs w:val="32"/>
        </w:rPr>
        <w:t>产业</w:t>
      </w:r>
      <w:r>
        <w:rPr>
          <w:rFonts w:ascii="仿宋" w:hAnsi="仿宋" w:eastAsia="仿宋" w:cs="仿宋"/>
          <w:szCs w:val="32"/>
        </w:rPr>
        <w:t>、标准、知识产权、第三方社团等奖项</w:t>
      </w:r>
      <w:r>
        <w:rPr>
          <w:rFonts w:hint="eastAsia" w:ascii="仿宋" w:hAnsi="仿宋" w:eastAsia="仿宋" w:cs="仿宋"/>
          <w:szCs w:val="32"/>
        </w:rPr>
        <w:t>的</w:t>
      </w:r>
      <w:r>
        <w:rPr>
          <w:rFonts w:ascii="仿宋" w:hAnsi="仿宋" w:eastAsia="仿宋" w:cs="仿宋"/>
          <w:szCs w:val="32"/>
        </w:rPr>
        <w:t>企业家、</w:t>
      </w:r>
      <w:r>
        <w:rPr>
          <w:rFonts w:hint="eastAsia" w:ascii="仿宋" w:hAnsi="仿宋" w:eastAsia="仿宋" w:cs="仿宋"/>
          <w:szCs w:val="32"/>
        </w:rPr>
        <w:t>科研机构、</w:t>
      </w:r>
      <w:r>
        <w:rPr>
          <w:rFonts w:ascii="仿宋" w:hAnsi="仿宋" w:eastAsia="仿宋" w:cs="仿宋"/>
          <w:szCs w:val="32"/>
        </w:rPr>
        <w:t>高校专家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ind w:firstLine="640"/>
        <w:rPr>
          <w:rFonts w:ascii="仿宋" w:hAnsi="仿宋" w:eastAsia="仿宋" w:cs="仿宋"/>
          <w:color w:val="FF0000"/>
          <w:szCs w:val="32"/>
        </w:rPr>
      </w:pPr>
      <w:r>
        <w:rPr>
          <w:rFonts w:hint="eastAsia" w:ascii="仿宋" w:hAnsi="仿宋" w:eastAsia="仿宋" w:cs="仿宋"/>
          <w:szCs w:val="32"/>
        </w:rPr>
        <w:t>2</w:t>
      </w:r>
      <w:r>
        <w:rPr>
          <w:rFonts w:ascii="仿宋" w:hAnsi="仿宋" w:eastAsia="仿宋" w:cs="仿宋"/>
          <w:szCs w:val="32"/>
        </w:rPr>
        <w:t>、</w:t>
      </w:r>
      <w:r>
        <w:rPr>
          <w:rFonts w:hint="eastAsia" w:ascii="仿宋" w:hAnsi="仿宋" w:eastAsia="仿宋" w:cs="仿宋"/>
          <w:szCs w:val="32"/>
        </w:rPr>
        <w:t>在2</w:t>
      </w:r>
      <w:r>
        <w:rPr>
          <w:rFonts w:ascii="仿宋" w:hAnsi="仿宋" w:eastAsia="仿宋" w:cs="仿宋"/>
          <w:szCs w:val="32"/>
        </w:rPr>
        <w:t>01</w:t>
      </w:r>
      <w:r>
        <w:rPr>
          <w:rFonts w:hint="eastAsia" w:ascii="仿宋" w:hAnsi="仿宋" w:eastAsia="仿宋" w:cs="仿宋"/>
          <w:szCs w:val="32"/>
        </w:rPr>
        <w:t>9</w:t>
      </w:r>
      <w:r>
        <w:rPr>
          <w:rFonts w:ascii="仿宋" w:hAnsi="仿宋" w:eastAsia="仿宋" w:cs="仿宋"/>
          <w:szCs w:val="32"/>
        </w:rPr>
        <w:t>年</w:t>
      </w:r>
      <w:r>
        <w:rPr>
          <w:rFonts w:hint="eastAsia" w:ascii="仿宋" w:hAnsi="仿宋" w:eastAsia="仿宋" w:cs="仿宋"/>
          <w:color w:val="000000"/>
          <w:szCs w:val="32"/>
        </w:rPr>
        <w:t>超级电容</w:t>
      </w:r>
      <w:r>
        <w:rPr>
          <w:rFonts w:ascii="仿宋" w:hAnsi="仿宋" w:eastAsia="仿宋" w:cs="仿宋"/>
          <w:color w:val="000000"/>
          <w:szCs w:val="32"/>
        </w:rPr>
        <w:t>行业</w:t>
      </w:r>
      <w:r>
        <w:rPr>
          <w:rFonts w:hint="eastAsia" w:ascii="仿宋" w:hAnsi="仿宋" w:eastAsia="仿宋" w:cs="仿宋"/>
          <w:color w:val="000000"/>
          <w:szCs w:val="32"/>
        </w:rPr>
        <w:t>推动</w:t>
      </w:r>
      <w:r>
        <w:rPr>
          <w:rFonts w:ascii="仿宋" w:hAnsi="仿宋" w:eastAsia="仿宋" w:cs="仿宋"/>
          <w:color w:val="000000"/>
          <w:szCs w:val="32"/>
        </w:rPr>
        <w:t>技术、产业</w:t>
      </w:r>
      <w:r>
        <w:rPr>
          <w:rFonts w:hint="eastAsia" w:ascii="仿宋" w:hAnsi="仿宋" w:eastAsia="仿宋" w:cs="仿宋"/>
          <w:color w:val="000000"/>
          <w:szCs w:val="32"/>
        </w:rPr>
        <w:t>、应用</w:t>
      </w:r>
      <w:r>
        <w:rPr>
          <w:rFonts w:ascii="仿宋" w:hAnsi="仿宋" w:eastAsia="仿宋" w:cs="仿宋"/>
          <w:color w:val="000000"/>
          <w:szCs w:val="32"/>
        </w:rPr>
        <w:t>、标准</w:t>
      </w:r>
      <w:r>
        <w:rPr>
          <w:rFonts w:hint="eastAsia" w:ascii="仿宋" w:hAnsi="仿宋" w:eastAsia="仿宋" w:cs="仿宋"/>
          <w:color w:val="000000"/>
          <w:szCs w:val="32"/>
        </w:rPr>
        <w:t>等</w:t>
      </w:r>
      <w:r>
        <w:rPr>
          <w:rFonts w:ascii="仿宋" w:hAnsi="仿宋" w:eastAsia="仿宋" w:cs="仿宋"/>
          <w:color w:val="000000"/>
          <w:szCs w:val="32"/>
        </w:rPr>
        <w:t>方面取得的重大影响事件</w:t>
      </w:r>
      <w:r>
        <w:rPr>
          <w:rFonts w:hint="eastAsia" w:ascii="仿宋" w:hAnsi="仿宋" w:eastAsia="仿宋" w:cs="仿宋"/>
          <w:color w:val="000000"/>
          <w:szCs w:val="32"/>
        </w:rPr>
        <w:t>的</w:t>
      </w:r>
      <w:r>
        <w:rPr>
          <w:rFonts w:ascii="仿宋" w:hAnsi="仿宋" w:eastAsia="仿宋" w:cs="仿宋"/>
          <w:color w:val="000000"/>
          <w:szCs w:val="32"/>
        </w:rPr>
        <w:t>主要负责人</w:t>
      </w:r>
      <w:r>
        <w:rPr>
          <w:rFonts w:hint="eastAsia" w:ascii="仿宋" w:hAnsi="仿宋" w:eastAsia="仿宋" w:cs="仿宋"/>
          <w:color w:val="000000"/>
          <w:szCs w:val="32"/>
        </w:rPr>
        <w:t>。</w:t>
      </w:r>
    </w:p>
    <w:p>
      <w:pPr>
        <w:ind w:firstLine="643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四、申请材料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1、最高学历学位证书及2寸彩色照片。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2、个人简历（10</w:t>
      </w:r>
      <w:r>
        <w:rPr>
          <w:rFonts w:ascii="仿宋" w:hAnsi="仿宋" w:eastAsia="仿宋" w:cs="仿宋"/>
          <w:szCs w:val="32"/>
        </w:rPr>
        <w:t>00字以内）</w:t>
      </w:r>
      <w:r>
        <w:rPr>
          <w:rFonts w:hint="eastAsia" w:ascii="仿宋" w:hAnsi="仿宋" w:eastAsia="仿宋" w:cs="仿宋"/>
          <w:szCs w:val="32"/>
        </w:rPr>
        <w:t>。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3、2</w:t>
      </w:r>
      <w:r>
        <w:rPr>
          <w:rFonts w:ascii="仿宋" w:hAnsi="仿宋" w:eastAsia="仿宋" w:cs="仿宋"/>
          <w:szCs w:val="32"/>
        </w:rPr>
        <w:t>0</w:t>
      </w:r>
      <w:r>
        <w:rPr>
          <w:rFonts w:hint="eastAsia" w:ascii="仿宋" w:hAnsi="仿宋" w:eastAsia="仿宋" w:cs="仿宋"/>
          <w:szCs w:val="32"/>
        </w:rPr>
        <w:t>19</w:t>
      </w:r>
      <w:r>
        <w:rPr>
          <w:rFonts w:ascii="仿宋" w:hAnsi="仿宋" w:eastAsia="仿宋" w:cs="仿宋"/>
          <w:szCs w:val="32"/>
        </w:rPr>
        <w:t>年度</w:t>
      </w:r>
      <w:r>
        <w:rPr>
          <w:rFonts w:hint="eastAsia" w:ascii="仿宋" w:hAnsi="仿宋" w:eastAsia="仿宋" w:cs="仿宋"/>
          <w:szCs w:val="32"/>
        </w:rPr>
        <w:t>事迹</w:t>
      </w:r>
      <w:r>
        <w:rPr>
          <w:rFonts w:ascii="仿宋" w:hAnsi="仿宋" w:eastAsia="仿宋" w:cs="仿宋"/>
          <w:szCs w:val="32"/>
        </w:rPr>
        <w:t>成果简介</w:t>
      </w:r>
      <w:r>
        <w:rPr>
          <w:rFonts w:hint="eastAsia" w:ascii="仿宋" w:hAnsi="仿宋" w:eastAsia="仿宋" w:cs="仿宋"/>
          <w:szCs w:val="32"/>
        </w:rPr>
        <w:t>。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ascii="仿宋" w:hAnsi="仿宋" w:eastAsia="仿宋" w:cs="仿宋"/>
          <w:szCs w:val="32"/>
        </w:rPr>
        <w:t>4</w:t>
      </w:r>
      <w:r>
        <w:rPr>
          <w:rFonts w:hint="eastAsia" w:ascii="仿宋" w:hAnsi="仿宋" w:eastAsia="仿宋" w:cs="仿宋"/>
          <w:szCs w:val="32"/>
        </w:rPr>
        <w:t>、提供最近两年里取得的关键性创新实践或成功案例。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ascii="仿宋" w:hAnsi="仿宋" w:eastAsia="仿宋" w:cs="仿宋"/>
          <w:szCs w:val="32"/>
        </w:rPr>
        <w:t>5</w:t>
      </w:r>
      <w:r>
        <w:rPr>
          <w:rFonts w:hint="eastAsia" w:ascii="仿宋" w:hAnsi="仿宋" w:eastAsia="仿宋" w:cs="仿宋"/>
          <w:szCs w:val="32"/>
        </w:rPr>
        <w:t>、主要成果证明材料(代表性论著、专利证书、技术成果、产品证书等复印件，主持或参与项目的证明材料)。</w:t>
      </w:r>
    </w:p>
    <w:p>
      <w:pPr>
        <w:ind w:firstLine="640"/>
        <w:rPr>
          <w:rFonts w:ascii="仿宋" w:hAnsi="仿宋" w:eastAsia="仿宋" w:cs="仿宋"/>
          <w:szCs w:val="32"/>
        </w:rPr>
      </w:pPr>
      <w:r>
        <w:rPr>
          <w:rFonts w:ascii="仿宋" w:hAnsi="仿宋" w:eastAsia="仿宋" w:cs="仿宋"/>
          <w:szCs w:val="32"/>
        </w:rPr>
        <w:t>6</w:t>
      </w:r>
      <w:r>
        <w:rPr>
          <w:rFonts w:hint="eastAsia" w:ascii="仿宋" w:hAnsi="仿宋" w:eastAsia="仿宋" w:cs="仿宋"/>
          <w:szCs w:val="32"/>
        </w:rPr>
        <w:t>、其他证明材料(获得的重要奖项、从业资格证书、在国际学术组织兼职、在国际学术会议做重要报告等)。</w:t>
      </w:r>
    </w:p>
    <w:p>
      <w:pPr>
        <w:spacing w:line="360" w:lineRule="auto"/>
        <w:ind w:firstLine="643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五、评选申报表</w:t>
      </w:r>
    </w:p>
    <w:p>
      <w:pPr>
        <w:spacing w:line="360" w:lineRule="auto"/>
        <w:ind w:firstLine="0" w:firstLineChars="0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2019超级电容器产业年度人物申请表</w:t>
      </w:r>
    </w:p>
    <w:tbl>
      <w:tblPr>
        <w:tblStyle w:val="2"/>
        <w:tblW w:w="8780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3895"/>
        <w:gridCol w:w="27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  <w:jc w:val="center"/>
        </w:trPr>
        <w:tc>
          <w:tcPr>
            <w:tcW w:w="6075" w:type="dxa"/>
            <w:gridSpan w:val="2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人物简介：（1000字以内）</w:t>
            </w:r>
          </w:p>
          <w:p>
            <w:pPr>
              <w:spacing w:line="360" w:lineRule="auto"/>
              <w:ind w:firstLine="600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360" w:lineRule="auto"/>
              <w:ind w:firstLine="600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360" w:lineRule="auto"/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tabs>
                <w:tab w:val="left" w:pos="6175"/>
              </w:tabs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（年会颁奖介绍文字）</w:t>
            </w:r>
          </w:p>
        </w:tc>
        <w:tc>
          <w:tcPr>
            <w:tcW w:w="2705" w:type="dxa"/>
            <w:vAlign w:val="bottom"/>
          </w:tcPr>
          <w:p>
            <w:pPr>
              <w:tabs>
                <w:tab w:val="left" w:pos="6175"/>
              </w:tabs>
              <w:ind w:firstLine="904" w:firstLineChars="300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  <w:t>照 片</w:t>
            </w:r>
          </w:p>
          <w:p>
            <w:pPr>
              <w:tabs>
                <w:tab w:val="left" w:pos="6175"/>
              </w:tabs>
              <w:ind w:firstLine="602"/>
              <w:jc w:val="right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</w:p>
          <w:p>
            <w:pPr>
              <w:tabs>
                <w:tab w:val="left" w:pos="6175"/>
              </w:tabs>
              <w:ind w:firstLine="482"/>
              <w:jc w:val="righ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tabs>
                <w:tab w:val="left" w:pos="6175"/>
              </w:tabs>
              <w:ind w:firstLine="482"/>
              <w:jc w:val="righ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tabs>
                <w:tab w:val="left" w:pos="6175"/>
              </w:tabs>
              <w:ind w:firstLine="482"/>
              <w:jc w:val="righ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tabs>
                <w:tab w:val="left" w:pos="6175"/>
              </w:tabs>
              <w:ind w:firstLine="482"/>
              <w:rPr>
                <w:rFonts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（年会颁奖照片）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0" w:type="dxa"/>
            <w:gridSpan w:val="3"/>
            <w:vAlign w:val="center"/>
          </w:tcPr>
          <w:p>
            <w:pPr>
              <w:spacing w:line="360" w:lineRule="auto"/>
              <w:ind w:firstLine="0" w:firstLineChars="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2019年度主要成绩：</w:t>
            </w:r>
          </w:p>
          <w:p>
            <w:pPr>
              <w:spacing w:line="360" w:lineRule="auto"/>
              <w:ind w:firstLine="60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360" w:lineRule="auto"/>
              <w:ind w:firstLine="60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0" w:type="dxa"/>
            <w:gridSpan w:val="3"/>
            <w:vAlign w:val="center"/>
          </w:tcPr>
          <w:p>
            <w:pPr>
              <w:spacing w:line="360" w:lineRule="auto"/>
              <w:ind w:firstLine="0" w:firstLineChars="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2019年度已获奖项：</w:t>
            </w:r>
          </w:p>
          <w:p>
            <w:pPr>
              <w:spacing w:line="360" w:lineRule="auto"/>
              <w:ind w:firstLine="60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tabs>
                <w:tab w:val="center" w:pos="963"/>
                <w:tab w:val="right" w:pos="2047"/>
              </w:tabs>
              <w:spacing w:line="360" w:lineRule="auto"/>
              <w:ind w:firstLine="60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0" w:type="dxa"/>
            <w:gridSpan w:val="3"/>
          </w:tcPr>
          <w:p>
            <w:pPr>
              <w:spacing w:line="360" w:lineRule="auto"/>
              <w:ind w:firstLine="0" w:firstLineChars="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取得的关键性创新实践或成功案例，产生的经济价值和者社会价值：</w:t>
            </w:r>
          </w:p>
          <w:p>
            <w:pPr>
              <w:spacing w:line="360" w:lineRule="auto"/>
              <w:ind w:firstLine="0" w:firstLineChars="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360" w:lineRule="auto"/>
              <w:ind w:firstLine="198" w:firstLineChars="66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360" w:lineRule="auto"/>
              <w:ind w:firstLine="158" w:firstLineChars="66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80" w:type="dxa"/>
            <w:gridSpan w:val="3"/>
          </w:tcPr>
          <w:p>
            <w:pPr>
              <w:spacing w:line="360" w:lineRule="auto"/>
              <w:ind w:firstLine="0" w:firstLineChars="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近两年所获代表性论著、专利证书、技术成果、</w:t>
            </w:r>
            <w:r>
              <w:rPr>
                <w:rFonts w:ascii="仿宋" w:hAnsi="仿宋" w:eastAsia="仿宋" w:cs="仿宋"/>
                <w:sz w:val="30"/>
                <w:szCs w:val="30"/>
              </w:rPr>
              <w:t>第三方职位等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：</w:t>
            </w:r>
          </w:p>
          <w:p>
            <w:pPr>
              <w:spacing w:line="360" w:lineRule="auto"/>
              <w:ind w:firstLine="480"/>
              <w:jc w:val="lef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60" w:lineRule="auto"/>
              <w:ind w:firstLine="480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80" w:type="dxa"/>
            <w:vAlign w:val="center"/>
          </w:tcPr>
          <w:p>
            <w:pPr>
              <w:spacing w:line="360" w:lineRule="auto"/>
              <w:ind w:firstLine="0" w:firstLineChars="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所在单位意见</w:t>
            </w:r>
          </w:p>
        </w:tc>
        <w:tc>
          <w:tcPr>
            <w:tcW w:w="6600" w:type="dxa"/>
            <w:gridSpan w:val="2"/>
            <w:vAlign w:val="bottom"/>
          </w:tcPr>
          <w:p>
            <w:pPr>
              <w:spacing w:line="360" w:lineRule="auto"/>
              <w:ind w:right="1120" w:firstLine="600"/>
              <w:jc w:val="righ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                                        （盖章）                                              年   月   日</w:t>
            </w:r>
          </w:p>
        </w:tc>
      </w:tr>
    </w:tbl>
    <w:p>
      <w:pPr>
        <w:spacing w:line="360" w:lineRule="auto"/>
        <w:ind w:firstLine="0" w:firstLineChars="0"/>
        <w:rPr>
          <w:rFonts w:ascii="仿宋" w:hAnsi="仿宋" w:eastAsia="仿宋" w:cs="仿宋"/>
          <w:color w:val="000000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2690C"/>
    <w:rsid w:val="2FA2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560" w:lineRule="exact"/>
      <w:ind w:firstLine="200" w:firstLineChars="200"/>
      <w:jc w:val="both"/>
    </w:pPr>
    <w:rPr>
      <w:rFonts w:ascii="Tahoma" w:hAnsi="Tahoma" w:eastAsia="仿宋_GB2312" w:cstheme="minorBidi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2019-09-16T08:58:00Z</dcterms:created>
  <dc:creator>李_LICB</dc:creator>
  <cp:lastModifiedBy>李_LICB</cp:lastModifiedBy>
  <dcterms:modified xsi:type="dcterms:W3CDTF">2019-09-16T08:58:32Z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