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附件4：</w:t>
      </w:r>
    </w:p>
    <w:p>
      <w:pPr>
        <w:widowControl w:val="0"/>
        <w:adjustRightInd/>
        <w:snapToGrid/>
        <w:spacing w:line="240" w:lineRule="auto"/>
        <w:ind w:firstLine="0" w:firstLineChars="0"/>
        <w:jc w:val="center"/>
        <w:rPr>
          <w:rFonts w:ascii="黑体" w:hAnsi="Times New Roman" w:eastAsia="黑体" w:cs="Times New Roman"/>
          <w:kern w:val="2"/>
          <w:szCs w:val="32"/>
        </w:rPr>
      </w:pPr>
      <w:bookmarkStart w:id="0" w:name="_GoBack"/>
      <w:r>
        <w:rPr>
          <w:rFonts w:hint="eastAsia" w:ascii="黑体" w:hAnsi="Times New Roman" w:eastAsia="黑体" w:cs="Times New Roman"/>
          <w:kern w:val="2"/>
          <w:szCs w:val="32"/>
        </w:rPr>
        <w:t>2019中国超级电容产业成长新星申报材料</w:t>
      </w:r>
    </w:p>
    <w:bookmarkEnd w:id="0"/>
    <w:p>
      <w:pPr>
        <w:spacing w:line="360" w:lineRule="auto"/>
        <w:ind w:firstLine="0" w:firstLineChars="0"/>
        <w:rPr>
          <w:rFonts w:ascii="仿宋" w:hAnsi="仿宋" w:eastAsia="仿宋" w:cs="仿宋"/>
          <w:b/>
          <w:bCs/>
          <w:color w:val="000000"/>
          <w:szCs w:val="32"/>
          <w:shd w:val="clear" w:color="auto" w:fill="FFFFFF"/>
        </w:rPr>
      </w:pPr>
    </w:p>
    <w:p>
      <w:pPr>
        <w:spacing w:line="360" w:lineRule="auto"/>
        <w:ind w:firstLine="643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Cs w:val="32"/>
          <w:shd w:val="clear" w:color="auto" w:fill="FFFFFF"/>
        </w:rPr>
        <w:t>一、评选背景</w:t>
      </w:r>
    </w:p>
    <w:p>
      <w:pPr>
        <w:spacing w:line="360" w:lineRule="auto"/>
        <w:ind w:firstLine="640"/>
        <w:rPr>
          <w:rFonts w:ascii="仿宋" w:hAnsi="仿宋" w:eastAsia="仿宋" w:cs="仿宋"/>
          <w:color w:val="000000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Cs w:val="32"/>
          <w:shd w:val="clear" w:color="auto" w:fill="FFFFFF"/>
        </w:rPr>
        <w:t>为树立典型、表彰促进超级电容产业发展的企业，现开展“2019超级电容产业成长新星”评选活动，此活动旨在评选出在经营业绩、企业品牌价值提升、商业模式创新等方面突出的企业。</w:t>
      </w:r>
    </w:p>
    <w:p>
      <w:pPr>
        <w:spacing w:line="360" w:lineRule="auto"/>
        <w:ind w:firstLine="643"/>
        <w:rPr>
          <w:rFonts w:ascii="仿宋" w:hAnsi="仿宋" w:eastAsia="仿宋" w:cs="仿宋"/>
          <w:b/>
          <w:szCs w:val="32"/>
        </w:rPr>
      </w:pPr>
      <w:r>
        <w:rPr>
          <w:rFonts w:hint="eastAsia" w:ascii="仿宋" w:hAnsi="仿宋" w:eastAsia="仿宋" w:cs="仿宋"/>
          <w:b/>
          <w:szCs w:val="32"/>
        </w:rPr>
        <w:t>二、评选条件</w:t>
      </w:r>
    </w:p>
    <w:p>
      <w:pPr>
        <w:spacing w:line="360" w:lineRule="auto"/>
        <w:ind w:firstLine="640"/>
        <w:rPr>
          <w:rFonts w:ascii="仿宋" w:hAnsi="仿宋" w:eastAsia="仿宋" w:cs="仿宋"/>
          <w:color w:val="000000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Cs w:val="32"/>
          <w:shd w:val="clear" w:color="auto" w:fill="FFFFFF"/>
        </w:rPr>
        <w:t>1、企业成立</w:t>
      </w:r>
      <w:r>
        <w:rPr>
          <w:rFonts w:ascii="仿宋" w:hAnsi="仿宋" w:eastAsia="仿宋" w:cs="仿宋"/>
          <w:color w:val="000000"/>
          <w:szCs w:val="32"/>
          <w:shd w:val="clear" w:color="auto" w:fill="FFFFFF"/>
        </w:rPr>
        <w:t>1</w:t>
      </w:r>
      <w:r>
        <w:rPr>
          <w:rFonts w:hint="eastAsia" w:ascii="仿宋" w:hAnsi="仿宋" w:eastAsia="仿宋" w:cs="仿宋"/>
          <w:color w:val="000000"/>
          <w:szCs w:val="32"/>
          <w:shd w:val="clear" w:color="auto" w:fill="FFFFFF"/>
        </w:rPr>
        <w:t>年以上；</w:t>
      </w:r>
    </w:p>
    <w:p>
      <w:pPr>
        <w:spacing w:line="360" w:lineRule="auto"/>
        <w:ind w:firstLine="640"/>
        <w:rPr>
          <w:rFonts w:ascii="仿宋" w:hAnsi="仿宋" w:eastAsia="仿宋" w:cs="仿宋"/>
          <w:color w:val="000000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Cs w:val="32"/>
          <w:shd w:val="clear" w:color="auto" w:fill="FFFFFF"/>
        </w:rPr>
        <w:t>2、企业无不良行为记录；</w:t>
      </w:r>
    </w:p>
    <w:p>
      <w:pPr>
        <w:spacing w:line="360" w:lineRule="auto"/>
        <w:ind w:firstLine="640"/>
        <w:rPr>
          <w:rFonts w:ascii="仿宋" w:hAnsi="仿宋" w:eastAsia="仿宋" w:cs="仿宋"/>
          <w:color w:val="000000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Cs w:val="32"/>
          <w:shd w:val="clear" w:color="auto" w:fill="FFFFFF"/>
        </w:rPr>
        <w:t xml:space="preserve">3、从事超级电容的相关企业，行业内拥有一定知名度，具有良好的经济效益和社会效益；  </w:t>
      </w:r>
    </w:p>
    <w:p>
      <w:pPr>
        <w:spacing w:line="360" w:lineRule="auto"/>
        <w:ind w:firstLine="640"/>
        <w:rPr>
          <w:rFonts w:ascii="仿宋" w:hAnsi="仿宋" w:eastAsia="仿宋" w:cs="仿宋"/>
          <w:color w:val="000000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Cs w:val="32"/>
          <w:shd w:val="clear" w:color="auto" w:fill="FFFFFF"/>
        </w:rPr>
        <w:t>4、支持中国超级电容产业联盟相关工作；</w:t>
      </w:r>
    </w:p>
    <w:p>
      <w:pPr>
        <w:spacing w:line="360" w:lineRule="auto"/>
        <w:ind w:firstLine="640"/>
        <w:rPr>
          <w:rFonts w:ascii="仿宋" w:hAnsi="仿宋" w:eastAsia="仿宋" w:cs="仿宋"/>
          <w:color w:val="000000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Cs w:val="32"/>
          <w:shd w:val="clear" w:color="auto" w:fill="FFFFFF"/>
        </w:rPr>
        <w:t>5、具有行业社会责任；</w:t>
      </w:r>
    </w:p>
    <w:p>
      <w:pPr>
        <w:spacing w:line="360" w:lineRule="auto"/>
        <w:ind w:firstLine="640"/>
        <w:rPr>
          <w:rFonts w:ascii="仿宋" w:hAnsi="仿宋" w:eastAsia="仿宋" w:cs="仿宋"/>
          <w:color w:val="000000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Cs w:val="32"/>
          <w:shd w:val="clear" w:color="auto" w:fill="FFFFFF"/>
        </w:rPr>
        <w:t>6、企业在经营业绩、企业品牌价值提升、商业模式创新等方面较为突出；</w:t>
      </w:r>
    </w:p>
    <w:p>
      <w:pPr>
        <w:spacing w:line="360" w:lineRule="auto"/>
        <w:ind w:firstLine="640"/>
        <w:rPr>
          <w:rFonts w:ascii="仿宋" w:hAnsi="仿宋" w:eastAsia="仿宋" w:cs="仿宋"/>
          <w:color w:val="000000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Cs w:val="32"/>
          <w:shd w:val="clear" w:color="auto" w:fill="FFFFFF"/>
        </w:rPr>
        <w:t>7、企业在技术创新、产品开发或品质提升方面较为突出。</w:t>
      </w:r>
    </w:p>
    <w:p>
      <w:pPr>
        <w:spacing w:line="360" w:lineRule="auto"/>
        <w:ind w:firstLine="643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zCs w:val="32"/>
          <w:shd w:val="clear" w:color="auto" w:fill="FFFFFF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color w:val="000000"/>
          <w:szCs w:val="32"/>
          <w:shd w:val="clear" w:color="auto" w:fill="FFFFFF"/>
        </w:rPr>
        <w:t>评选申报表</w:t>
      </w:r>
    </w:p>
    <w:p>
      <w:pPr>
        <w:spacing w:line="360" w:lineRule="auto"/>
        <w:ind w:firstLine="0" w:firstLineChars="0"/>
        <w:jc w:val="center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2019超级电容产业成长新星申请表</w:t>
      </w:r>
    </w:p>
    <w:tbl>
      <w:tblPr>
        <w:tblStyle w:val="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2"/>
        <w:gridCol w:w="1866"/>
        <w:gridCol w:w="1801"/>
        <w:gridCol w:w="2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2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  <w:r>
              <w:rPr>
                <w:rFonts w:hint="eastAsia" w:ascii="仿宋_GB2312" w:hAnsiTheme="minorEastAsia"/>
                <w:sz w:val="24"/>
                <w:szCs w:val="24"/>
              </w:rPr>
              <w:t>单位名称</w:t>
            </w:r>
          </w:p>
        </w:tc>
        <w:tc>
          <w:tcPr>
            <w:tcW w:w="1866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  <w:tc>
          <w:tcPr>
            <w:tcW w:w="1801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  <w:r>
              <w:rPr>
                <w:rFonts w:hint="eastAsia" w:ascii="仿宋_GB2312" w:hAnsiTheme="minorEastAsia"/>
                <w:sz w:val="24"/>
                <w:szCs w:val="24"/>
              </w:rPr>
              <w:t>联系人</w:t>
            </w:r>
          </w:p>
        </w:tc>
        <w:tc>
          <w:tcPr>
            <w:tcW w:w="2347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2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  <w:r>
              <w:rPr>
                <w:rFonts w:hint="eastAsia" w:ascii="仿宋_GB2312" w:hAnsiTheme="minorEastAsia"/>
                <w:sz w:val="24"/>
                <w:szCs w:val="24"/>
              </w:rPr>
              <w:t>主营业务</w:t>
            </w:r>
          </w:p>
        </w:tc>
        <w:tc>
          <w:tcPr>
            <w:tcW w:w="1866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  <w:tc>
          <w:tcPr>
            <w:tcW w:w="1801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  <w:r>
              <w:rPr>
                <w:rFonts w:hint="eastAsia" w:ascii="仿宋_GB2312" w:hAnsiTheme="minorEastAsia"/>
                <w:sz w:val="24"/>
                <w:szCs w:val="24"/>
              </w:rPr>
              <w:t>联系方式</w:t>
            </w:r>
          </w:p>
        </w:tc>
        <w:tc>
          <w:tcPr>
            <w:tcW w:w="2347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atLeast"/>
        </w:trPr>
        <w:tc>
          <w:tcPr>
            <w:tcW w:w="2282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  <w:r>
              <w:rPr>
                <w:rFonts w:hint="eastAsia" w:ascii="仿宋_GB2312" w:hAnsiTheme="minorEastAsia"/>
                <w:sz w:val="24"/>
                <w:szCs w:val="24"/>
              </w:rPr>
              <w:t>公司简介</w:t>
            </w:r>
          </w:p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  <w:r>
              <w:rPr>
                <w:rFonts w:hint="eastAsia" w:ascii="仿宋_GB2312" w:hAnsiTheme="minorEastAsia"/>
                <w:sz w:val="24"/>
                <w:szCs w:val="24"/>
              </w:rPr>
              <w:t>（限300字）</w:t>
            </w:r>
          </w:p>
        </w:tc>
        <w:tc>
          <w:tcPr>
            <w:tcW w:w="6014" w:type="dxa"/>
            <w:gridSpan w:val="3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282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  <w:r>
              <w:rPr>
                <w:rFonts w:hint="eastAsia" w:ascii="仿宋_GB2312" w:hAnsiTheme="minorEastAsia"/>
                <w:sz w:val="24"/>
                <w:szCs w:val="24"/>
              </w:rPr>
              <w:t>企业经营业绩（近2年生产销售、营业额、净利润）</w:t>
            </w:r>
          </w:p>
        </w:tc>
        <w:tc>
          <w:tcPr>
            <w:tcW w:w="6014" w:type="dxa"/>
            <w:gridSpan w:val="3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</w:trPr>
        <w:tc>
          <w:tcPr>
            <w:tcW w:w="2282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  <w:r>
              <w:rPr>
                <w:rFonts w:hint="eastAsia" w:ascii="仿宋_GB2312" w:hAnsiTheme="minorEastAsia"/>
                <w:sz w:val="24"/>
                <w:szCs w:val="24"/>
              </w:rPr>
              <w:t>技术创新、产品开发或品质提升方面介绍</w:t>
            </w:r>
          </w:p>
        </w:tc>
        <w:tc>
          <w:tcPr>
            <w:tcW w:w="6014" w:type="dxa"/>
            <w:gridSpan w:val="3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82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  <w:r>
              <w:rPr>
                <w:rFonts w:hint="eastAsia" w:ascii="仿宋_GB2312" w:hAnsiTheme="minorEastAsia"/>
                <w:sz w:val="24"/>
                <w:szCs w:val="24"/>
              </w:rPr>
              <w:t>近两年获得的荣誉</w:t>
            </w:r>
          </w:p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  <w:tc>
          <w:tcPr>
            <w:tcW w:w="6014" w:type="dxa"/>
            <w:gridSpan w:val="3"/>
          </w:tcPr>
          <w:p>
            <w:pPr>
              <w:spacing w:line="240" w:lineRule="auto"/>
              <w:ind w:firstLine="0" w:firstLineChars="0"/>
              <w:jc w:val="left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2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  <w:r>
              <w:rPr>
                <w:rFonts w:hint="eastAsia" w:ascii="仿宋_GB2312" w:hAnsiTheme="minorEastAsia"/>
                <w:sz w:val="24"/>
                <w:szCs w:val="24"/>
              </w:rPr>
              <w:t>积极参与</w:t>
            </w:r>
            <w:r>
              <w:rPr>
                <w:rFonts w:ascii="仿宋_GB2312" w:hAnsiTheme="minorEastAsia"/>
                <w:sz w:val="24"/>
                <w:szCs w:val="24"/>
              </w:rPr>
              <w:t>超电联盟的</w:t>
            </w:r>
            <w:r>
              <w:rPr>
                <w:rFonts w:hint="eastAsia" w:ascii="仿宋_GB2312" w:hAnsiTheme="minorEastAsia"/>
                <w:sz w:val="24"/>
                <w:szCs w:val="24"/>
              </w:rPr>
              <w:t>相关工作</w:t>
            </w:r>
            <w:r>
              <w:rPr>
                <w:rFonts w:ascii="仿宋_GB2312" w:hAnsiTheme="minorEastAsia"/>
                <w:sz w:val="24"/>
                <w:szCs w:val="24"/>
              </w:rPr>
              <w:t>内容</w:t>
            </w:r>
          </w:p>
        </w:tc>
        <w:tc>
          <w:tcPr>
            <w:tcW w:w="6014" w:type="dxa"/>
            <w:gridSpan w:val="3"/>
          </w:tcPr>
          <w:p>
            <w:pPr>
              <w:spacing w:line="240" w:lineRule="auto"/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97016"/>
    <w:rsid w:val="3F09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560" w:lineRule="exact"/>
      <w:ind w:firstLine="200" w:firstLineChars="200"/>
      <w:jc w:val="both"/>
    </w:pPr>
    <w:rPr>
      <w:rFonts w:ascii="Tahoma" w:hAnsi="Tahoma" w:eastAsia="仿宋_GB2312" w:cstheme="minorBidi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rFonts w:eastAsiaTheme="minorEastAs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2019-09-16T08:58:00Z</dcterms:created>
  <dc:creator>李_LICB</dc:creator>
  <cp:lastModifiedBy>李_LICB</cp:lastModifiedBy>
  <dcterms:modified xsi:type="dcterms:W3CDTF">2019-09-16T08:59:11Z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