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640" w:hanging="640" w:hangingChars="200"/>
        <w:jc w:val="left"/>
        <w:rPr>
          <w:sz w:val="32"/>
        </w:rPr>
      </w:pPr>
      <w:r>
        <w:rPr>
          <w:rFonts w:hint="eastAsia"/>
          <w:sz w:val="32"/>
        </w:rPr>
        <w:t>附件3：超级电容产业应用白皮书（2024年）目录（拟）</w:t>
      </w:r>
    </w:p>
    <w:sdt>
      <w:sdtPr>
        <w:rPr>
          <w:lang w:val="zh-CN"/>
        </w:rPr>
        <w:id w:val="-1734614295"/>
        <w:docPartObj>
          <w:docPartGallery w:val="Table of Contents"/>
          <w:docPartUnique/>
        </w:docPartObj>
      </w:sdtPr>
      <w:sdtEndPr>
        <w:rPr>
          <w:rFonts w:ascii="宋体" w:hAnsi="宋体" w:eastAsia="宋体" w:cs="TXWZXHJW--GB1-0"/>
          <w:b/>
          <w:bCs/>
          <w:kern w:val="0"/>
          <w:sz w:val="21"/>
          <w:szCs w:val="21"/>
          <w:lang w:val="zh-CN"/>
        </w:rPr>
      </w:sdtEndPr>
      <w:sdtContent>
        <w:p>
          <w:pPr>
            <w:spacing w:line="180" w:lineRule="exact"/>
            <w:ind w:firstLine="640"/>
            <w:rPr>
              <w:rFonts w:ascii="等线 Light" w:hAnsi="等线 Light" w:eastAsia="等线 Light" w:cs="Times New Roman"/>
              <w:color w:val="2F5496"/>
              <w:sz w:val="10"/>
              <w:szCs w:val="10"/>
              <w:lang w:val="zh-CN"/>
            </w:rPr>
          </w:pPr>
          <w:bookmarkStart w:id="0" w:name="_Hlk55842697"/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rPr>
              <w:rFonts w:ascii="宋体" w:hAnsi="宋体" w:eastAsia="宋体" w:cs="TXWZXHJW--GB1-0"/>
              <w:kern w:val="0"/>
              <w:sz w:val="21"/>
              <w:szCs w:val="21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21"/>
              <w:szCs w:val="21"/>
            </w:rPr>
            <w:instrText xml:space="preserve"> TOC \o "1-3" \h \z \u </w:instrText>
          </w:r>
          <w:r>
            <w:rPr>
              <w:rFonts w:ascii="宋体" w:hAnsi="宋体" w:eastAsia="宋体" w:cs="TXWZXHJW--GB1-0"/>
              <w:kern w:val="0"/>
              <w:sz w:val="21"/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"_Toc164432546"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第一章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一、超级电容器的定义及分类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二、超级电容器的特性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三、超级电容器的行业发展概况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四、超级电容器的应用概况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第二章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超级电容器在电力领域的应用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一、储能技术的分类及特点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二、电力储能的作用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三、我国储能政策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四、我国电力储能市场概况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32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五、超级电容器在电力储能领域的应用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33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第三章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超级电容器在交通运输领域的应用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一、超级电容器在再生制动系统中的应用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二、超级电容器在主动力电源系统中的应用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80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三、超级电容器在混合动力车领域的应用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四、超级电容器在车辆启动电源领域的应用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五、超级电容器在乘用车领域的应用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六、超级电容器在充电桩中的应用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103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七、超级电容器在电动船舶中的应用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110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第四章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超级电容器在工程车辆和特种设备领域的应用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121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一、能量回收系统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二、动力电源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第五章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超级电容器在照明领域的应用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"_Toc164432592"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一、超级电容光伏路灯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_Toc164432592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二、智慧城市照明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三、超级电容应急照明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四、室内照明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五、其他照明领域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第六章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超级电容器在智能仪表领域的应用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一、智能电表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148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二、智能水表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154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三、智能燃气表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157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四、智能热量表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"_Toc164432602"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第七章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超级电容器在消费电子、工业及家用电器领域的应用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_Toc164432602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一、后备电源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二、辅助电源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640" w:leftChars="200"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三、主电源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第八章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超级电容器在移动机器人领域的应用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第九章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超级电容器在物联网领域的应用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177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第十章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  <w:shd w:val="clear" w:color="auto" w:fill="FFFFFF"/>
            </w:rPr>
            <w:t>超级电容器的其他应用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1050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第十一章</w:t>
          </w:r>
          <w:r>
            <w:rPr>
              <w:rFonts w:ascii="宋体" w:hAnsi="宋体" w:eastAsia="宋体" w:cs="Times New Roman"/>
              <w:kern w:val="2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结论与展望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ind w:firstLine="0" w:firstLineChars="0"/>
            <w:rPr>
              <w:rFonts w:ascii="宋体" w:hAnsi="宋体" w:eastAsia="宋体" w:cs="TXWZXHJW--GB1-0"/>
              <w:b/>
              <w:bCs/>
              <w:kern w:val="0"/>
              <w:sz w:val="21"/>
              <w:szCs w:val="21"/>
              <w:lang w:val="zh-CN"/>
            </w:rPr>
          </w:pPr>
          <w:r>
            <w:fldChar w:fldCharType="begin"/>
          </w:r>
          <w:r>
            <w:instrText xml:space="preserve"> HYPERLINK \l "_Toc164432610"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参考文献</w:t>
          </w:r>
          <w:r>
            <w:rPr>
              <w:rFonts w:hint="eastAsia" w:ascii="宋体" w:hAnsi="宋体" w:eastAsia="宋体" w:cs="TXWZXHJW--GB1-0"/>
              <w:color w:val="0563C1"/>
              <w:kern w:val="0"/>
              <w:sz w:val="18"/>
              <w:szCs w:val="18"/>
            </w:rPr>
            <w:t xml:space="preserve">  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_Toc164432610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b/>
              <w:bCs/>
              <w:kern w:val="0"/>
              <w:sz w:val="21"/>
              <w:szCs w:val="21"/>
              <w:lang w:val="zh-CN"/>
            </w:rPr>
            <w:fldChar w:fldCharType="end"/>
          </w:r>
          <w:bookmarkEnd w:id="0"/>
          <w:bookmarkStart w:id="1" w:name="_GoBack"/>
          <w:bookmarkEnd w:id="1"/>
        </w:p>
      </w:sdtContent>
    </w:sdt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XWZXH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542079"/>
    </w:sdtPr>
    <w:sdtContent>
      <w:p>
        <w:pPr>
          <w:pStyle w:val="5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zA0MTMzYWMxMmQ1MGQ2NTZlNDZjMTA4NDI5MTIifQ=="/>
    <w:docVar w:name="KSO_WPS_MARK_KEY" w:val="d8875206-4a3c-4c7b-8da5-de3f330ca7ab"/>
  </w:docVars>
  <w:rsids>
    <w:rsidRoot w:val="00C352CF"/>
    <w:rsid w:val="00004684"/>
    <w:rsid w:val="00076C7A"/>
    <w:rsid w:val="000801B2"/>
    <w:rsid w:val="00084BE6"/>
    <w:rsid w:val="000A5D5A"/>
    <w:rsid w:val="000C6AD9"/>
    <w:rsid w:val="000D3EB2"/>
    <w:rsid w:val="000E2A55"/>
    <w:rsid w:val="000E426B"/>
    <w:rsid w:val="00111EB6"/>
    <w:rsid w:val="00122BA3"/>
    <w:rsid w:val="00162F3C"/>
    <w:rsid w:val="002238D7"/>
    <w:rsid w:val="00243F03"/>
    <w:rsid w:val="002A1768"/>
    <w:rsid w:val="00382247"/>
    <w:rsid w:val="00387F24"/>
    <w:rsid w:val="003E2A1E"/>
    <w:rsid w:val="003E7067"/>
    <w:rsid w:val="003F0F0E"/>
    <w:rsid w:val="0040477D"/>
    <w:rsid w:val="00405490"/>
    <w:rsid w:val="00441ED1"/>
    <w:rsid w:val="00494DDF"/>
    <w:rsid w:val="004A1CA2"/>
    <w:rsid w:val="004A51A9"/>
    <w:rsid w:val="004B3F0D"/>
    <w:rsid w:val="004F2301"/>
    <w:rsid w:val="00522D59"/>
    <w:rsid w:val="005445CD"/>
    <w:rsid w:val="00556271"/>
    <w:rsid w:val="005C20EB"/>
    <w:rsid w:val="005D1DFA"/>
    <w:rsid w:val="00601A79"/>
    <w:rsid w:val="0061279C"/>
    <w:rsid w:val="0066731A"/>
    <w:rsid w:val="0067333D"/>
    <w:rsid w:val="00675F09"/>
    <w:rsid w:val="00680596"/>
    <w:rsid w:val="006B7842"/>
    <w:rsid w:val="006E2A13"/>
    <w:rsid w:val="006E2CA2"/>
    <w:rsid w:val="006E5FF3"/>
    <w:rsid w:val="006F11D3"/>
    <w:rsid w:val="0073740E"/>
    <w:rsid w:val="0076654C"/>
    <w:rsid w:val="00837AE1"/>
    <w:rsid w:val="0086691E"/>
    <w:rsid w:val="008F2985"/>
    <w:rsid w:val="00917D41"/>
    <w:rsid w:val="0094092D"/>
    <w:rsid w:val="00952922"/>
    <w:rsid w:val="009541F4"/>
    <w:rsid w:val="0096371F"/>
    <w:rsid w:val="009B1727"/>
    <w:rsid w:val="009B28D3"/>
    <w:rsid w:val="009C6F03"/>
    <w:rsid w:val="009D1C5E"/>
    <w:rsid w:val="00A01D95"/>
    <w:rsid w:val="00A11B9D"/>
    <w:rsid w:val="00A17A20"/>
    <w:rsid w:val="00A76CA7"/>
    <w:rsid w:val="00AC3F5D"/>
    <w:rsid w:val="00AE1712"/>
    <w:rsid w:val="00B33884"/>
    <w:rsid w:val="00C352CF"/>
    <w:rsid w:val="00C40E3E"/>
    <w:rsid w:val="00C506AE"/>
    <w:rsid w:val="00C6615E"/>
    <w:rsid w:val="00C8180B"/>
    <w:rsid w:val="00D053F7"/>
    <w:rsid w:val="00D14A11"/>
    <w:rsid w:val="00D760D4"/>
    <w:rsid w:val="00D86F0D"/>
    <w:rsid w:val="00DD0B1A"/>
    <w:rsid w:val="00DD51ED"/>
    <w:rsid w:val="00DF2539"/>
    <w:rsid w:val="00E019E4"/>
    <w:rsid w:val="00E05FBE"/>
    <w:rsid w:val="00E84130"/>
    <w:rsid w:val="00EB0864"/>
    <w:rsid w:val="00F75CE0"/>
    <w:rsid w:val="00F9691B"/>
    <w:rsid w:val="00FA2231"/>
    <w:rsid w:val="00FD6D96"/>
    <w:rsid w:val="1118065A"/>
    <w:rsid w:val="18883366"/>
    <w:rsid w:val="1BE578BF"/>
    <w:rsid w:val="28BC0562"/>
    <w:rsid w:val="4F4D2326"/>
    <w:rsid w:val="550F5041"/>
    <w:rsid w:val="679A1DDF"/>
    <w:rsid w:val="7F3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="方正仿宋_GBK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楷体_GBK"/>
      <w:b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outlineLvl w:val="0"/>
    </w:pPr>
    <w:rPr>
      <w:rFonts w:eastAsia="方正黑体_GBK"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9"/>
    <w:rPr>
      <w:rFonts w:eastAsia="方正楷体_GBK" w:asciiTheme="majorHAnsi"/>
      <w:b/>
      <w:bCs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eastAsia="方正小标宋_GBK"/>
      <w:bCs/>
      <w:sz w:val="44"/>
    </w:rPr>
  </w:style>
  <w:style w:type="character" w:customStyle="1" w:styleId="13">
    <w:name w:val="标题 字符"/>
    <w:basedOn w:val="10"/>
    <w:link w:val="7"/>
    <w:qFormat/>
    <w:uiPriority w:val="10"/>
    <w:rPr>
      <w:rFonts w:eastAsia="方正黑体_GBK" w:asciiTheme="majorHAnsi"/>
      <w:bCs/>
      <w:szCs w:val="32"/>
    </w:rPr>
  </w:style>
  <w:style w:type="character" w:customStyle="1" w:styleId="14">
    <w:name w:val="标题 3 字符"/>
    <w:basedOn w:val="10"/>
    <w:link w:val="4"/>
    <w:qFormat/>
    <w:uiPriority w:val="9"/>
    <w:rPr>
      <w:b/>
      <w:bCs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91AC-ACD4-4AD3-A3A6-64A1F4395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1752</Words>
  <Characters>1934</Characters>
  <Lines>34</Lines>
  <Paragraphs>9</Paragraphs>
  <TotalTime>0</TotalTime>
  <ScaleCrop>false</ScaleCrop>
  <LinksUpToDate>false</LinksUpToDate>
  <CharactersWithSpaces>2230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2024-01-23T06:34:00Z</dcterms:created>
  <dc:creator>沈明辉</dc:creator>
  <cp:lastModifiedBy>liuqian</cp:lastModifiedBy>
  <cp:lastPrinted>2023-06-14T04:50:00Z</cp:lastPrinted>
  <dcterms:modified xsi:type="dcterms:W3CDTF">2024-05-30T02:46:14Z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E2BABA57ECE54429925B73BBC386DB84_13</vt:lpwstr>
  </property>
</Properties>
</file>