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</w:pPr>
      <w:r>
        <w:rPr>
          <w:rFonts w:hint="eastAsia"/>
        </w:rPr>
        <w:t>附件5：超级电容产业应用白皮书（2024年）目录（拟）</w:t>
      </w:r>
    </w:p>
    <w:sdt>
      <w:sdtPr>
        <w:rPr>
          <w:lang w:val="zh-CN"/>
        </w:rPr>
        <w:id w:val="-1734614295"/>
        <w:docPartObj>
          <w:docPartGallery w:val="Table of Contents"/>
          <w:docPartUnique/>
        </w:docPartObj>
      </w:sdtPr>
      <w:sdtEndPr>
        <w:rPr>
          <w:rFonts w:ascii="宋体" w:hAnsi="宋体" w:eastAsia="宋体" w:cs="TXWZXHJW--GB1-0"/>
          <w:b/>
          <w:bCs/>
          <w:kern w:val="0"/>
          <w:szCs w:val="21"/>
          <w:lang w:val="zh-CN"/>
        </w:rPr>
      </w:sdtEndPr>
      <w:sdtContent>
        <w:p>
          <w:pPr>
            <w:spacing w:line="180" w:lineRule="exact"/>
            <w:ind w:firstLine="640"/>
            <w:rPr>
              <w:rFonts w:ascii="等线 Light" w:hAnsi="等线 Light" w:eastAsia="等线 Light" w:cs="Times New Roman"/>
              <w:color w:val="2F5496"/>
              <w:sz w:val="10"/>
              <w:szCs w:val="10"/>
              <w:lang w:val="zh-CN"/>
            </w:rPr>
          </w:pPr>
          <w:bookmarkStart w:id="0" w:name="_Hlk55842697"/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rPr>
              <w:rFonts w:ascii="宋体" w:hAnsi="宋体" w:eastAsia="宋体" w:cs="TXWZXHJW--GB1-0"/>
              <w:kern w:val="0"/>
              <w:szCs w:val="21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Cs w:val="21"/>
            </w:rPr>
            <w:instrText xml:space="preserve"> TOC \o "1-3" \h \z \u </w:instrText>
          </w:r>
          <w:r>
            <w:rPr>
              <w:rFonts w:ascii="宋体" w:hAnsi="宋体" w:eastAsia="宋体" w:cs="TXWZXHJW--GB1-0"/>
              <w:kern w:val="0"/>
              <w:szCs w:val="21"/>
            </w:rPr>
            <w:fldChar w:fldCharType="separate"/>
          </w:r>
          <w:r>
            <w:fldChar w:fldCharType="begin"/>
          </w:r>
          <w:r>
            <w:instrText xml:space="preserve"> HYPERLINK \l "_Toc164432546"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第一章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一、超级电容器的定义及分类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二、超级电容器的特性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"_Toc164432549"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三、超级电容器的行业发展概况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_Toc164432549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四、超级电容器的应用概况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第二章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超级电容器在电力领域的应用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一、储能技术的分类及特点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二、电力储能的作用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三、我国储能政策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27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四、我国电力储能市场概况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32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"_Toc164432559"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五、超级电容器在电力储能领域的应用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_Toc164432559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33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第三章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超级电容器在交通运输领域的应用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一、超级电容器在再生制动系统中的应用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72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二、超级电容器在主动力电源系统中的应用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80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"_Toc164432569"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三、超级电容器在混合动力车领域的应用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_Toc164432569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四、超级电容器在车辆启动电源领域的应用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五、超级电容器在乘用车领域的应用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95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六、超级电容器在充电桩中的应用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103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"_Toc164432578"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七、超级电容器在电动船舶中的应用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_Toc164432578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110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第四章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超级电容器在工程车辆和特种设备领域的应用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121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一、能量回收系统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122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"_Toc164432588"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二、动力电源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_Toc164432588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第五章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超级电容器在照明领域的应用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"_Toc164432592"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一、超级电容光伏路灯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_Toc164432592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139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二、智慧城市照明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三、超级电容应急照明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四、室内照明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五、其他照明领域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145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第六章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超级电容器在智能仪表领域的应用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一、智能电表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148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"_Toc164432599"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二、智能水表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_Toc164432599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154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三、智能燃气表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157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"_Toc164432601"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四、智能热量表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_Toc164432601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160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"_Toc164432602"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第七章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超级电容器在消费电子、工业及家用电器领域的应用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_Toc164432602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"_Toc164432603"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一、后备电源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_Toc164432603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162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"_Toc164432604"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二、辅助电源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_Toc164432604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163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8296"/>
            </w:tabs>
            <w:spacing w:line="300" w:lineRule="exact"/>
            <w:ind w:left="420" w:leftChars="200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"_Toc164432605"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三、主电源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_Toc164432605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"_Toc164432606"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第八章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超级电容器在移动机器人领域的应用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_Toc164432606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166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"_Toc164432607"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第九章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超级电容器在物联网领域的应用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_Toc164432607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177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"_Toc164432608"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第十章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  <w:shd w:val="clear" w:color="auto" w:fill="FFFFFF"/>
            </w:rPr>
            <w:t>超级电容器的其他应用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_Toc164432608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184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1050"/>
              <w:tab w:val="right" w:leader="dot" w:pos="8296"/>
            </w:tabs>
            <w:spacing w:line="300" w:lineRule="exact"/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</w:pPr>
          <w:r>
            <w:fldChar w:fldCharType="begin"/>
          </w:r>
          <w:r>
            <w:instrText xml:space="preserve"> HYPERLINK \l "_Toc164432609"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第十一章</w:t>
          </w:r>
          <w:r>
            <w:rPr>
              <w:rFonts w:ascii="宋体" w:hAnsi="宋体" w:eastAsia="宋体" w:cs="Times New Roman"/>
              <w:sz w:val="18"/>
              <w:szCs w:val="18"/>
              <w14:ligatures w14:val="standardContextual"/>
            </w:rPr>
            <w:tab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结论与展望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_Toc164432609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187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</w:p>
        <w:p>
          <w:pPr>
            <w:tabs>
              <w:tab w:val="left" w:pos="851"/>
              <w:tab w:val="right" w:leader="dot" w:pos="8296"/>
            </w:tabs>
            <w:spacing w:line="300" w:lineRule="exact"/>
            <w:rPr>
              <w:rFonts w:ascii="宋体" w:hAnsi="宋体" w:eastAsia="宋体" w:cs="TXWZXHJW--GB1-0"/>
              <w:b/>
              <w:bCs/>
              <w:kern w:val="0"/>
              <w:szCs w:val="21"/>
              <w:lang w:val="zh-CN"/>
            </w:rPr>
          </w:pPr>
          <w:r>
            <w:fldChar w:fldCharType="begin"/>
          </w:r>
          <w:r>
            <w:instrText xml:space="preserve"> HYPERLINK \l "_Toc164432610" </w:instrText>
          </w:r>
          <w:r>
            <w:fldChar w:fldCharType="separate"/>
          </w:r>
          <w:r>
            <w:rPr>
              <w:rFonts w:ascii="宋体" w:hAnsi="宋体" w:eastAsia="宋体" w:cs="TXWZXHJW--GB1-0"/>
              <w:color w:val="0563C1"/>
              <w:kern w:val="0"/>
              <w:sz w:val="18"/>
              <w:szCs w:val="18"/>
            </w:rPr>
            <w:t>参考文献</w:t>
          </w:r>
          <w:r>
            <w:rPr>
              <w:rFonts w:hint="eastAsia" w:ascii="宋体" w:hAnsi="宋体" w:eastAsia="宋体" w:cs="TXWZXHJW--GB1-0"/>
              <w:color w:val="0563C1"/>
              <w:kern w:val="0"/>
              <w:sz w:val="18"/>
              <w:szCs w:val="18"/>
            </w:rPr>
            <w:t xml:space="preserve">  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ab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begin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instrText xml:space="preserve"> PAGEREF _Toc164432610 \h </w:instrTex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separate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t>189</w:t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kern w:val="0"/>
              <w:sz w:val="18"/>
              <w:szCs w:val="18"/>
            </w:rPr>
            <w:fldChar w:fldCharType="end"/>
          </w:r>
          <w:r>
            <w:rPr>
              <w:rFonts w:ascii="宋体" w:hAnsi="宋体" w:eastAsia="宋体" w:cs="TXWZXHJW--GB1-0"/>
              <w:b/>
              <w:bCs/>
              <w:kern w:val="0"/>
              <w:szCs w:val="21"/>
              <w:lang w:val="zh-CN"/>
            </w:rPr>
            <w:fldChar w:fldCharType="end"/>
          </w:r>
        </w:p>
      </w:sdtContent>
    </w:sdt>
    <w:bookmarkEnd w:id="0"/>
    <w:p>
      <w:pPr>
        <w:pStyle w:val="5"/>
        <w:ind w:firstLine="640"/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XWZXH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677E7DB1"/>
    <w:rsid w:val="1A37660E"/>
    <w:rsid w:val="62826B2B"/>
    <w:rsid w:val="677E7DB1"/>
    <w:rsid w:val="6B1A09C3"/>
    <w:rsid w:val="6E8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480" w:lineRule="exact"/>
      <w:jc w:val="center"/>
    </w:pPr>
    <w:rPr>
      <w:rFonts w:eastAsia="黑体" w:cs="宋体"/>
      <w:color w:val="000000"/>
      <w:sz w:val="36"/>
    </w:rPr>
  </w:style>
  <w:style w:type="paragraph" w:customStyle="1" w:styleId="5">
    <w:name w:val="公文主体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宋体"/>
      <w:sz w:val="32"/>
      <w:szCs w:val="20"/>
    </w:rPr>
  </w:style>
  <w:style w:type="table" w:customStyle="1" w:styleId="6">
    <w:name w:val="网格型1"/>
    <w:basedOn w:val="2"/>
    <w:qFormat/>
    <w:uiPriority w:val="0"/>
    <w:rPr>
      <w:rFonts w:ascii="等线" w:hAnsi="等线" w:eastAsia="等线"/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liuqian</dc:creator>
  <cp:lastModifiedBy>liuqian</cp:lastModifiedBy>
  <dcterms:modified xsi:type="dcterms:W3CDTF">2024-05-31T01:31:49Z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6F28637A4FA1447092BED3AB68639B35_13</vt:lpwstr>
  </property>
</Properties>
</file>